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stratifié</w:t>
      </w:r>
    </w:p>
    <w:p>
      <w:pPr/>
      <w:r>
        <w:rPr>
          <w:rStyle w:val="font_h1"/>
        </w:rPr>
        <w:t xml:space="preserve">1. Principe et domaine d’emploi</w:t>
      </w:r>
    </w:p>
    <w:p>
      <w:pPr>
        <w:ind w:left="720" w:right="0"/>
      </w:pPr>
      <w:r>
        <w:rPr>
          <w:rStyle w:val="font_h2"/>
        </w:rPr>
        <w:t xml:space="preserve">1.1. Principe</w:t>
      </w:r>
    </w:p>
    <w:p>
      <w:pPr>
        <w:ind w:left="720" w:right="0"/>
      </w:pPr>
      <w:r>
        <w:rPr>
          <w:rStyle w:val="font_h2"/>
        </w:rPr>
        <w:t xml:space="preserve">1.2. Domaine d'emploi</w:t>
      </w:r>
    </w:p>
    <w:p>
      <w:pPr/>
      <w:r>
        <w:rPr>
          <w:rStyle w:val="font_h1"/>
        </w:rPr>
        <w:t xml:space="preserve">2. Définition qualitative et quantitative</w:t>
      </w:r>
    </w:p>
    <w:p>
      <w:pPr>
        <w:ind w:left="720" w:right="0"/>
      </w:pPr>
      <w:r>
        <w:rPr>
          <w:rStyle w:val="font_h2"/>
        </w:rPr>
        <w:t xml:space="preserve">2.1. Eléments constitutifs du système</w:t>
      </w:r>
    </w:p>
    <w:p>
      <w:pPr/>
      <w:r>
        <w:rPr>
          <w:rStyle w:val="font_h1"/>
        </w:rPr>
        <w:t xml:space="preserve">3. Fabrication et Contrôles</w:t>
      </w:r>
    </w:p>
    <w:p>
      <w:pPr>
        <w:ind w:left="720" w:right="0"/>
      </w:pPr>
      <w:r>
        <w:rPr>
          <w:rStyle w:val="font_h2"/>
        </w:rPr>
        <w:t xml:space="preserve">3.1. Revêtements de sol</w:t>
      </w:r>
    </w:p>
    <w:p>
      <w:pPr>
        <w:ind w:left="720" w:right="0"/>
      </w:pPr>
      <w:r>
        <w:rPr>
          <w:rStyle w:val="font_h2"/>
        </w:rPr>
        <w:t xml:space="preserve">3.2. Sous-couche</w:t>
      </w:r>
    </w:p>
    <w:p>
      <w:pPr>
        <w:ind w:left="720" w:right="0"/>
      </w:pPr>
      <w:r>
        <w:rPr>
          <w:rStyle w:val="font_h2"/>
        </w:rPr>
        <w:t xml:space="preserve">3.3. Mastic</w:t>
      </w:r>
    </w:p>
    <w:p>
      <w:pPr/>
      <w:r>
        <w:rPr>
          <w:rStyle w:val="font_h1"/>
        </w:rPr>
        <w:t xml:space="preserve">4. Mise en œuvre</w:t>
      </w:r>
    </w:p>
    <w:p>
      <w:pPr>
        <w:ind w:left="720" w:right="0"/>
      </w:pPr>
      <w:r>
        <w:rPr>
          <w:rStyle w:val="font_h2"/>
        </w:rPr>
        <w:t xml:space="preserve">4.1. Supports : nomenclature et exigences</w:t>
      </w:r>
    </w:p>
    <w:p>
      <w:pPr>
        <w:ind w:left="720" w:right="0"/>
      </w:pPr>
      <w:r>
        <w:rPr>
          <w:rStyle w:val="font_h2"/>
        </w:rPr>
        <w:t xml:space="preserve">4.2. Travaux préparatoires</w:t>
      </w:r>
    </w:p>
    <w:p>
      <w:pPr>
        <w:ind w:left="720" w:right="0"/>
      </w:pPr>
      <w:r>
        <w:rPr>
          <w:rStyle w:val="font_h2"/>
        </w:rPr>
        <w:t xml:space="preserve">4.3. Stockage et conditions de pose</w:t>
      </w:r>
    </w:p>
    <w:p>
      <w:pPr>
        <w:ind w:left="720" w:right="0"/>
      </w:pPr>
      <w:r>
        <w:rPr>
          <w:rStyle w:val="font_h2"/>
        </w:rPr>
        <w:t xml:space="preserve">4.4. Pose de la sous-couche</w:t>
      </w:r>
    </w:p>
    <w:p>
      <w:pPr>
        <w:ind w:left="720" w:right="0"/>
      </w:pPr>
      <w:r>
        <w:rPr>
          <w:rStyle w:val="font_h2"/>
        </w:rPr>
        <w:t xml:space="preserve">4.5. Pose flottante des lames de revêtement</w:t>
      </w:r>
    </w:p>
    <w:p>
      <w:pPr>
        <w:ind w:left="720" w:right="0"/>
      </w:pPr>
      <w:r>
        <w:rPr>
          <w:rStyle w:val="font_h2"/>
        </w:rPr>
        <w:t xml:space="preserve">4.6. Traitement des points singuliers</w:t>
      </w:r>
    </w:p>
    <w:p>
      <w:pPr>
        <w:ind w:left="720" w:right="0"/>
      </w:pPr>
      <w:r>
        <w:rPr>
          <w:rStyle w:val="font_h2"/>
        </w:rPr>
        <w:t xml:space="preserve">4.7. Plancher chauffant</w:t>
      </w:r>
    </w:p>
    <w:p>
      <w:pPr/>
      <w:r>
        <w:rPr>
          <w:rStyle w:val="font_h1"/>
        </w:rPr>
        <w:t xml:space="preserve">5. Mise en service</w:t>
      </w:r>
    </w:p>
    <w:p>
      <w:pPr/>
      <w:r>
        <w:rPr>
          <w:rStyle w:val="font_h1"/>
        </w:rPr>
        <w:t xml:space="preserve">6. Utilisation - Entretien</w:t>
      </w:r>
    </w:p>
    <w:p>
      <w:pPr>
        <w:ind w:left="720" w:right="0"/>
      </w:pPr>
      <w:r>
        <w:rPr>
          <w:rStyle w:val="font_h2"/>
        </w:rPr>
        <w:t xml:space="preserve">6.1. Précautions d’utilisation</w:t>
      </w:r>
    </w:p>
    <w:p>
      <w:pPr>
        <w:ind w:left="720" w:right="0"/>
      </w:pPr>
      <w:r>
        <w:rPr>
          <w:rStyle w:val="font_h2"/>
        </w:rPr>
        <w:t xml:space="preserve">6.2. Entretien courant</w:t>
      </w:r>
    </w:p>
    <w:p>
      <w:pPr>
        <w:ind w:left="720" w:right="0"/>
      </w:pPr>
      <w:r>
        <w:rPr>
          <w:rStyle w:val="font_h2"/>
        </w:rPr>
        <w:t xml:space="preserve">6.3. Précautions d’utilisation (cuisines et coins cuisines)</w:t>
      </w:r>
    </w:p>
    <w:p>
      <w:pPr/>
      <w:r>
        <w:rPr>
          <w:rStyle w:val="font_h1"/>
        </w:rPr>
        <w:t xml:space="preserve">7. Surveillance - Réparation</w:t>
      </w:r>
    </w:p>
    <w:p>
      <w:pPr>
        <w:ind w:left="720" w:right="0"/>
      </w:pPr>
      <w:r>
        <w:rPr>
          <w:rStyle w:val="font_h2"/>
        </w:rPr>
        <w:t xml:space="preserve">7.1. Inspection annuelle et réparation éventuelle de l’étanchéité périphérique (cuisines et coins cuisines)</w:t>
      </w:r>
    </w:p>
    <w:p>
      <w:pPr>
        <w:ind w:left="720" w:right="0"/>
      </w:pPr>
      <w:r>
        <w:rPr>
          <w:rStyle w:val="font_h2"/>
        </w:rPr>
        <w:t xml:space="preserve">7.2. Inspection annuelle et réparation éventuelle de traces d’impact sur les lames de revêtement de sol (cuisines et coins cuisines)</w:t>
      </w:r>
    </w:p>
    <w:p>
      <w:pPr/>
      <w:r>
        <w:rPr>
          <w:rStyle w:val="font_h1"/>
        </w:rPr>
        <w:t xml:space="preserve">8. Assistance technique</w:t>
      </w:r>
    </w:p>
    <w:p>
      <w:pPr>
        <w:ind w:left="720" w:right="0"/>
      </w:pPr>
      <w:r>
        <w:rPr>
          <w:rStyle w:val="font_h2"/>
        </w:rPr>
        <w:t xml:space="preserve">8.1. Formation des entreprises de pose</w:t>
      </w:r>
    </w:p>
    <w:p>
      <w:pPr>
        <w:ind w:left="720" w:right="0"/>
      </w:pPr>
      <w:r>
        <w:rPr>
          <w:rStyle w:val="font_h2"/>
        </w:rPr>
        <w:t xml:space="preserve">8.2. Matériel</w:t>
      </w:r>
    </w:p>
    <w:p>
      <w:pPr/>
      <w:r>
        <w:rPr>
          <w:rStyle w:val="font_h1"/>
        </w:rPr>
        <w:t xml:space="preserve">9.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360D4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2024-04-20T17:30:46+02:00</dcterms:created>
  <dcterms:modified xsi:type="dcterms:W3CDTF">2024-04-20T17:30:46+02:00</dcterms:modified>
</cp:coreProperties>
</file>

<file path=docProps/custom.xml><?xml version="1.0" encoding="utf-8"?>
<Properties xmlns="http://schemas.openxmlformats.org/officeDocument/2006/custom-properties" xmlns:vt="http://schemas.openxmlformats.org/officeDocument/2006/docPropsVTypes"/>
</file>