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Système de drainage</w:t>
      </w:r>
    </w:p>
    <w:p>
      <w:pPr/>
      <w:r>
        <w:rPr>
          <w:rStyle w:val="font_h1"/>
        </w:rPr>
        <w:t xml:space="preserve">1. Généralités</w:t>
      </w:r>
    </w:p>
    <w:p>
      <w:pPr/>
      <w:r>
        <w:rPr/>
        <w:t xml:space="preserve">Validé par le Groupe Spécialisé le 01/10/2020</w:t>
      </w:r>
    </w:p>
    <w:p>
      <w:pPr/>
      <w:r>
        <w:rPr>
          <w:b/>
          <w:bCs/>
        </w:rPr>
        <w:t xml:space="preserve">Description</w:t>
      </w:r>
    </w:p>
    <w:p>
      <w:pPr/>
      <w:r>
        <w:rPr/>
        <w:t xml:space="preserve">Décrire le produit : composants, matériau(x), principe, dimensions, performances (mécaniques, hydrauliques, etc.).Indiquer le domaine d'emploi. L'Avis Technique porte sur un couple produit-domaine d'emploi.</w:t>
      </w:r>
    </w:p>
    <w:p>
      <w:pPr/>
      <w:r>
        <w:rPr/>
        <w:t xml:space="preserve">Fournir une liste de références de chantier.Dans le cas d'une révision du dossier, supprimer les références aux différentes évaluations européennes dans le paragraphe C (Références) du Dossier Technique (CR GS n°139 - 15/06/2017).</w:t>
      </w:r>
    </w:p>
    <w:p>
      <w:pPr/>
      <w:r>
        <w:rPr>
          <w:b/>
          <w:bCs/>
        </w:rPr>
        <w:t xml:space="preserve">Illustration</w:t>
      </w:r>
    </w:p>
    <w:p>
      <w:pPr/>
      <w:r>
        <w:rPr/>
        <w:t xml:space="preserve">Schémas cotés produit</w:t>
      </w:r>
    </w:p>
    <w:p>
      <w:pPr/>
      <w:r>
        <w:rPr>
          <w:rStyle w:val="font_h1"/>
        </w:rPr>
        <w:t xml:space="preserve">2. Fabrication et matières premières</w:t>
      </w:r>
    </w:p>
    <w:p>
      <w:pPr>
        <w:ind w:left="720" w:right="0"/>
      </w:pPr>
      <w:r>
        <w:rPr>
          <w:rStyle w:val="font_h2"/>
        </w:rPr>
        <w:t xml:space="preserve">2.1. Fabrication</w:t>
      </w:r>
    </w:p>
    <w:p>
      <w:pPr/>
      <w:r>
        <w:rPr/>
        <w:t xml:space="preserve">Validé par le Groupe Spécialisé le 18/09/2019</w:t>
      </w:r>
    </w:p>
    <w:p>
      <w:pPr/>
      <w:r>
        <w:rPr>
          <w:b/>
          <w:bCs/>
        </w:rPr>
        <w:t xml:space="preserve">Description</w:t>
      </w:r>
    </w:p>
    <w:p>
      <w:pPr/>
      <w:r>
        <w:rPr/>
        <w:t xml:space="preserve">Décrire les modes de fabrication des différents composants du drain. Indiquer les usines concernées.</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Matières premières</w:t>
      </w:r>
    </w:p>
    <w:p>
      <w:pPr/>
      <w:r>
        <w:rPr/>
        <w:t xml:space="preserve">Validé par le Groupe Spécialisé le 18/09/2019</w:t>
      </w:r>
    </w:p>
    <w:p>
      <w:pPr/>
      <w:r>
        <w:rPr>
          <w:b/>
          <w:bCs/>
        </w:rPr>
        <w:t xml:space="preserve">Description</w:t>
      </w:r>
    </w:p>
    <w:p>
      <w:pPr/>
      <w:r>
        <w:rPr/>
        <w:t xml:space="preserve">Décrire les caractéristiques des matières constituant les différents composants du drain.</w:t>
      </w:r>
    </w:p>
    <w:p>
      <w:pPr/>
      <w:r>
        <w:rPr/>
        <w:t xml:space="preserve">En cas d’utilisation de matières recyclées la durabilité du produit doit être démontrée (CR GS n°144 - 04/07/2018).</w:t>
      </w:r>
    </w:p>
    <w:p>
      <w:pPr/>
      <w:r>
        <w:rPr>
          <w:b/>
          <w:bCs/>
        </w:rPr>
        <w:t xml:space="preserve">Justification</w:t>
      </w:r>
    </w:p>
    <w:p>
      <w:pPr/>
      <w:r>
        <w:rPr/>
        <w:t xml:space="preserve">Fournir les fiches techniques des matières utilisées.Fournir les recettes matière.Fournir les certificats de conformité des matières.</w:t>
      </w:r>
    </w:p>
    <w:p>
      <w:pPr/>
      <w:r>
        <w:rPr>
          <w:rStyle w:val="font_h1"/>
        </w:rPr>
        <w:t xml:space="preserve">3. Caractéristiques physiques des composants du drain</w:t>
      </w:r>
    </w:p>
    <w:p>
      <w:pPr/>
      <w:r>
        <w:rPr/>
        <w:t xml:space="preserve">Validé par le Groupe Spécialisé le 20/08/2021</w:t>
      </w:r>
    </w:p>
    <w:p>
      <w:pPr/>
      <w:r>
        <w:rPr>
          <w:b/>
          <w:bCs/>
        </w:rPr>
        <w:t xml:space="preserve">Description</w:t>
      </w:r>
    </w:p>
    <w:p>
      <w:pPr/>
      <w:r>
        <w:rPr/>
        <w:t xml:space="preserve">Décrire les caractéristiques d'aptitude à l'emploi des différents composants du système.Préciser les méthodes d'essai et les résultats des essais.</w:t>
      </w:r>
    </w:p>
    <w:p>
      <w:pPr/>
      <w:r>
        <w:rPr/>
        <w:t xml:space="preserve">Notamment:</w:t>
      </w:r>
      <w:r>
        <w:rPr>
          <w:b/>
          <w:bCs/>
        </w:rPr>
        <w:t xml:space="preserve">Pour des tubes :</w:t>
      </w:r>
    </w:p>
    <w:p>
      <w:pPr>
        <w:pPr/>
        <w:numPr>
          <w:ilvl w:val="0"/>
          <w:numId w:val="9"/>
        </w:numPr>
      </w:pPr>
      <w:r>
        <w:rPr/>
        <w:t xml:space="preserve">Aspect et couleur</w:t>
      </w:r>
    </w:p>
    <w:p>
      <w:pPr>
        <w:pPr/>
        <w:numPr>
          <w:ilvl w:val="0"/>
          <w:numId w:val="9"/>
        </w:numPr>
      </w:pPr>
      <w:r>
        <w:rPr/>
        <w:t xml:space="preserve">Dimensions et poids des tubes</w:t>
      </w:r>
    </w:p>
    <w:p>
      <w:pPr>
        <w:pPr/>
        <w:numPr>
          <w:ilvl w:val="0"/>
          <w:numId w:val="9"/>
        </w:numPr>
      </w:pPr>
      <w:r>
        <w:rPr/>
        <w:t xml:space="preserve">Fentes/perforations</w:t>
      </w:r>
    </w:p>
    <w:p>
      <w:pPr>
        <w:pPr/>
        <w:numPr>
          <w:ilvl w:val="0"/>
          <w:numId w:val="9"/>
        </w:numPr>
      </w:pPr>
      <w:r>
        <w:rPr/>
        <w:t xml:space="preserve">Rigidité annulaire. Les tubes et accessoires en PVC, PP et PE sont de classe de rigidité SN4 minimum (rigidité ≥ 4 kN/m²) (CR 157 - 23/07/2020). </w:t>
      </w:r>
    </w:p>
    <w:p>
      <w:pPr>
        <w:pPr/>
        <w:numPr>
          <w:ilvl w:val="0"/>
          <w:numId w:val="9"/>
        </w:numPr>
      </w:pPr>
      <w:r>
        <w:rPr/>
        <w:t xml:space="preserve">Taux de fluage</w:t>
      </w:r>
    </w:p>
    <w:p>
      <w:pPr>
        <w:pPr/>
        <w:numPr>
          <w:ilvl w:val="0"/>
          <w:numId w:val="9"/>
        </w:numPr>
      </w:pPr>
      <w:r>
        <w:rPr/>
        <w:t xml:space="preserve">Résistance aux chocs</w:t>
      </w:r>
    </w:p>
    <w:p>
      <w:pPr/>
      <w:r>
        <w:rPr>
          <w:b/>
          <w:bCs/>
        </w:rPr>
        <w:t xml:space="preserve">Pour des géotextiles :</w:t>
      </w:r>
    </w:p>
    <w:p>
      <w:pPr>
        <w:pPr/>
        <w:numPr>
          <w:ilvl w:val="0"/>
          <w:numId w:val="10"/>
        </w:numPr>
      </w:pPr>
      <w:r>
        <w:rPr/>
        <w:t xml:space="preserve">Aspect &amp; Couleurs</w:t>
      </w:r>
    </w:p>
    <w:p>
      <w:pPr>
        <w:pPr/>
        <w:numPr>
          <w:ilvl w:val="0"/>
          <w:numId w:val="10"/>
        </w:numPr>
      </w:pPr>
      <w:r>
        <w:rPr/>
        <w:t xml:space="preserve">Masse surfacique</w:t>
      </w:r>
    </w:p>
    <w:p>
      <w:pPr>
        <w:pPr/>
        <w:numPr>
          <w:ilvl w:val="0"/>
          <w:numId w:val="10"/>
        </w:numPr>
      </w:pPr>
      <w:r>
        <w:rPr/>
        <w:t xml:space="preserve">Epaisseur </w:t>
      </w:r>
    </w:p>
    <w:p>
      <w:pPr>
        <w:pPr/>
        <w:numPr>
          <w:ilvl w:val="0"/>
          <w:numId w:val="10"/>
        </w:numPr>
      </w:pPr>
      <w:r>
        <w:rPr/>
        <w:t xml:space="preserve">Caractéristiques hydrauliques. L’ouverture de filtration est notamment une caractéristique majeure du géotextile pour évaluer son risque de colmatage, le passage de particules fines dans le drain et le risque d’érosion interne du massif (CR 157 - 23/07/2020).</w:t>
      </w:r>
    </w:p>
    <w:p>
      <w:pPr>
        <w:pPr/>
        <w:numPr>
          <w:ilvl w:val="0"/>
          <w:numId w:val="10"/>
        </w:numPr>
      </w:pPr>
      <w:r>
        <w:rPr/>
        <w:t xml:space="preserve">Caractéristiques mécaniques  </w:t>
      </w:r>
    </w:p>
    <w:p>
      <w:pPr/>
      <w:r>
        <w:rPr/>
        <w:t xml:space="preserve">Fournir un justificatif de résistance mécanique du drain pour chaque configuration d’installation visée au §1 ; en cas d’absence de justificatif pour l’implantation du produit sous charge roulante, la pose du drain devra impérativement être accompagnée d’une protection mécanique (CR 157 - 23/07/2020). </w:t>
      </w:r>
    </w:p>
    <w:p>
      <w:pPr/>
      <w:r>
        <w:rPr/>
        <w:t xml:space="preserve">Le groupe demande des justifications expérimentales sur la résistance au colmatage du système (notamment de l’enveloppe) pour le domaine d’emploi revendiqué.</w:t>
      </w:r>
      <w:br/>
      <w:r>
        <w:rPr/>
        <w:t xml:space="preserve">(CR 153 - 04/12/19)  </w:t>
      </w:r>
    </w:p>
    <w:p>
      <w:pPr/>
      <w:r>
        <w:rPr>
          <w:b/>
          <w:bCs/>
        </w:rPr>
        <w:t xml:space="preserve">Accessoires :</w:t>
      </w:r>
      <w:r>
        <w:rPr/>
        <w:t xml:space="preserve">À adapter selon la nature des accessoires. A minima, indiquer le type, l'aspect et les dimensions.</w:t>
      </w:r>
    </w:p>
    <w:p>
      <w:pPr/>
      <w:r>
        <w:rPr>
          <w:b/>
          <w:bCs/>
        </w:rPr>
        <w:t xml:space="preserve">Mini-drains:</w:t>
      </w:r>
      <w:r>
        <w:rPr/>
        <w:t xml:space="preserve">La résistance mécanique de mini-drains (DN ≤ 25 mm) est évaluée à travers leur résistance à l’écrasement/à la compression sous la charge revendiquée dans le domaine d’emploi.Dans le cas de tuyaux fabriqués en matière vierge et de DN ≤ 25 mm, la description du taux de fluage n’est pas nécessaire. [CR GS 165 - 09/06/2021]</w:t>
      </w:r>
    </w:p>
    <w:p>
      <w:pPr/>
      <w:r>
        <w:rPr>
          <w:b/>
          <w:bCs/>
        </w:rPr>
        <w:t xml:space="preserve">Justification</w:t>
      </w:r>
    </w:p>
    <w:p>
      <w:pPr/>
      <w:r>
        <w:rPr/>
        <w:t xml:space="preserve">Fournir les rapports d'essai.Une visite d'usine sera organisée avec l'instructeur.</w:t>
      </w:r>
    </w:p>
    <w:p>
      <w:pPr/>
      <w:r>
        <w:rPr>
          <w:rStyle w:val="font_h1"/>
        </w:rPr>
        <w:t xml:space="preserve">4. Identification et marquage</w:t>
      </w:r>
    </w:p>
    <w:p>
      <w:pPr/>
      <w:r>
        <w:rPr/>
        <w:t xml:space="preserve">Validé par le Groupe Spécialisé le 18/09/2019</w:t>
      </w:r>
    </w:p>
    <w:p>
      <w:pPr/>
      <w:r>
        <w:rPr>
          <w:b/>
          <w:bCs/>
        </w:rPr>
        <w:t xml:space="preserve">Description</w:t>
      </w:r>
    </w:p>
    <w:p>
      <w:pPr/>
      <w:r>
        <w:rPr/>
        <w:t xml:space="preserve">Indiquer les conditions de marquage du produit et son contenu. Le marquage doit être durable</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5.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p>
      <w:pPr/>
      <w:r>
        <w:rPr>
          <w:rStyle w:val="font_h1"/>
        </w:rPr>
        <w:t xml:space="preserve">6. Conditionnement, stockage et manutention</w:t>
      </w:r>
    </w:p>
    <w:p>
      <w:pPr/>
      <w:r>
        <w:rPr/>
        <w:t xml:space="preserve">Validé par le Groupe Spécialisé le 18/09/2019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acceptables. En cas d'empilement, préciser les hauteurs maximales.</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7. Conception et dimensionnement</w:t>
      </w:r>
    </w:p>
    <w:p>
      <w:pPr/>
      <w:r>
        <w:rPr/>
        <w:t xml:space="preserve">Validé par le Groupe Spécialisé le 02/10/2020</w:t>
      </w:r>
    </w:p>
    <w:p>
      <w:pPr/>
      <w:r>
        <w:rPr>
          <w:b/>
          <w:bCs/>
        </w:rPr>
        <w:t xml:space="preserve">Description</w:t>
      </w:r>
    </w:p>
    <w:p>
      <w:pPr/>
      <w:r>
        <w:rPr/>
        <w:t xml:space="preserve">Pour un drainage périphérique des bâtiments : la conception doit prendre en compte les préconisations du NF DTU 20.1 P1-1 (§5.6.1.2, §5.6.3) et P3 (§5.2) pour le revêtement des murs de soubassement situés le long du système de drainage (CR 157 - 23/07/2020).Mentionner que dans tous les cas de pose, une étude de sol doit être effectuée au préalable pour déterminer la nature du sol et la hauteur maximale de nappe. Pour un drainage périphérique et dans le cas de fondations existantes, une étude portant sur la faisabilité technique, notamment au niveau de l’état et du type des fondations de la construction, doit être préalablement menée et validée notamment par le maître d’œuvre. (CR 157 – 23/07/2020)Pour un drainage périphérique de bâtiment, préciser que le fil d’eau du drain doit être impérativement à plus de 15 cm du pied de la fondation et que le drain doit toujours être posé en dessous des dallages intérieurs, sur le côté de la semelle de fondation ou sur son débord avec une cunette. Si cela n’est pas possible, le drain sera déporté d’au moins 2 m. Pour tous ces cas de figure, préciser qu’en plus d’être posé à une profondeur inférieure ou égale à l’épaisseur minimale de remblai admissible, le système de drainage doit être suffisamment enterré par rapport aux pieds de fondations pour drainer efficacement les eaux souterraines en excès dans le sol. (CR 157 – 23/07/2020)</w:t>
      </w:r>
    </w:p>
    <w:p>
      <w:pPr/>
      <w:r>
        <w:rPr/>
        <w:t xml:space="preserve">Décrire les modalités de dimensionnement de l’ouvrage.Préciser les limites d’emplois (nature de sols, profondeur, longueurs drainées…) : </w:t>
      </w:r>
    </w:p>
    <w:p>
      <w:pPr>
        <w:pPr/>
        <w:numPr>
          <w:ilvl w:val="0"/>
          <w:numId w:val="11"/>
        </w:numPr>
      </w:pPr>
      <w:r>
        <w:rPr/>
        <w:t xml:space="preserve">Compatibilité de la zone d’enrobage</w:t>
      </w:r>
    </w:p>
    <w:p>
      <w:pPr>
        <w:pPr/>
        <w:numPr>
          <w:ilvl w:val="0"/>
          <w:numId w:val="11"/>
        </w:numPr>
      </w:pPr>
      <w:r>
        <w:rPr/>
        <w:t xml:space="preserve">Estimation des apports d’eau</w:t>
      </w:r>
    </w:p>
    <w:p>
      <w:pPr>
        <w:pPr/>
        <w:numPr>
          <w:ilvl w:val="0"/>
          <w:numId w:val="11"/>
        </w:numPr>
      </w:pPr>
      <w:r>
        <w:rPr/>
        <w:t xml:space="preserve">Longueur des éléments</w:t>
      </w:r>
    </w:p>
    <w:p>
      <w:pPr>
        <w:pPr/>
        <w:numPr>
          <w:ilvl w:val="0"/>
          <w:numId w:val="11"/>
        </w:numPr>
      </w:pPr>
      <w:r>
        <w:rPr/>
        <w:t xml:space="preserve">Limites d’emploi recommandées</w:t>
      </w:r>
    </w:p>
    <w:p>
      <w:pPr/>
      <w:r>
        <w:rPr/>
        <w:t xml:space="preserve">Décrire les systèmes d’évacuation de l’eau drainée et d’inspection du drain (boîte ou cheminée) prévus. Des regards ou boîtes d’inspection avec dispositif de fermeture adapté à l’usage fait en surface doivent être positionnés au point haut et bas du drain avec une zone de décantation et au raccordement de deux drains. De plus, des systèmes d’inspection avec dispositif de fermeture adapté à l’usage doivent être présents sur le réseau de drainage a minima (i) tous les deux changements de direction et, dans le cas d’un drainage périphérique, (ii) tous les 15 mètres. Par ailleurs, les fils d’eau du réseau d’évacuation des eaux drainées et du réseau d’évacuation des eaux pluviales (eau de toiture et autres types d’eau pluviale) doivent être réalisés de telle sorte à garantir que les eaux à l’aval de l’exutoire ne puissent pas refluer et venir mettre en charge le drain. Une solution pour s’en assurer correspond à la mise en place d’un clapet anti-retour. (CR 157 – 23/07/2020)</w:t>
      </w:r>
    </w:p>
    <w:p>
      <w:pPr/>
      <w:r>
        <w:rPr>
          <w:b/>
          <w:bCs/>
        </w:rPr>
        <w:t xml:space="preserve">Justification</w:t>
      </w:r>
    </w:p>
    <w:p>
      <w:pPr/>
      <w:r>
        <w:rPr/>
        <w:t xml:space="preserve">Fournir la méthode de dimensionnement. Fournir une liste de références terrain.</w:t>
      </w:r>
    </w:p>
    <w:p>
      <w:pPr/>
      <w:r>
        <w:rPr>
          <w:rStyle w:val="font_h1"/>
        </w:rPr>
        <w:t xml:space="preserve">8. Mise en oeuvre et réception des éléments</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aux spécifications techniques si elles existent, notamment celles du DTU 20.1 P3 Annexe C en précisant le(s) paragraphe(s) pour un drainage périphérique, chaque fois qu'elles sont applicables et en précisant les spécificités qui en dérogent. Les exigences sur les conditions de mise en œuvre sont les suivantes (CR 157 - 23/07/2020) :</w:t>
      </w:r>
    </w:p>
    <w:p>
      <w:pPr>
        <w:pPr/>
        <w:numPr>
          <w:ilvl w:val="0"/>
          <w:numId w:val="12"/>
        </w:numPr>
      </w:pPr>
      <w:r>
        <w:rPr/>
        <w:t xml:space="preserve">La valeur minimale de pente du drain est fixée en fonction du risque de colmatage du produit, notamment du risque de colmatage de ses surfaces de captation d’eau du sol. Elle est a minima égale à 0,5%. Elle pourra être revue à chaque révision de l’ATec, en se basant notamment sur les résultats des visites d’inspection.   </w:t>
      </w:r>
    </w:p>
    <w:p>
      <w:pPr>
        <w:pPr/>
        <w:numPr>
          <w:ilvl w:val="0"/>
          <w:numId w:val="12"/>
        </w:numPr>
      </w:pPr>
      <w:r>
        <w:rPr/>
        <w:t xml:space="preserve">La pose d’un anti-racine est obligatoire pour les drains installés à moins d’un mètre de profondeur afin d’éviter leur colmatage ou leur dégradation éventuelle par des rongeurs (CR 155 - 16/03/2020 et CR 157 - 23/07/2020).</w:t>
      </w:r>
    </w:p>
    <w:p>
      <w:pPr>
        <w:pPr/>
        <w:numPr>
          <w:ilvl w:val="0"/>
          <w:numId w:val="12"/>
        </w:numPr>
      </w:pPr>
      <w:r>
        <w:rPr/>
        <w:t xml:space="preserve">La pose d’un grillage avertisseur à 20 cm au-dessus de l’ensemble des réseaux enterrés de collecte et d’évacuation, dont le système de drainage, est obligatoire pour signaler sa présence lors de tout chantier ultérieur.  </w:t>
      </w:r>
    </w:p>
    <w:p>
      <w:pPr>
        <w:pPr/>
        <w:numPr>
          <w:ilvl w:val="0"/>
          <w:numId w:val="12"/>
        </w:numPr>
      </w:pPr>
      <w:r>
        <w:rPr/>
        <w:t xml:space="preserve">Les matériaux de remblais utilisés ne doivent pas nuire à la pérennité de l’ouvrage sur 50 ans, notamment en garantissant la stabilité de la structure du sol entourant le système de drainage (limitation de l’exposition du sol au risque d’érosion interne) et en étant compatible avec les caractéristiques concernant les fonctions « filtration » (ouverture de filtration du géotextile) et « drainage » (surface captante et pente du drain ; transmissivité et permittivité du géotextile s’il présente une fonction « drainage ») du produit. En outre, le remblai sera exempt d’éléments pouvant entraîner un poinçonnement du système de drainage. Par ailleurs, pour un drainage périphérique, un modelé de surface ou un ouvrage en béton (caniveau, trottoir) permettra d’écarter les eaux de ruissellement de la construction et de les rediriger, loin des murs, dans des avaloirs connectés au réseau d’eaux pluviales.</w:t>
      </w:r>
    </w:p>
    <w:p>
      <w:pPr>
        <w:pPr/>
        <w:numPr>
          <w:ilvl w:val="0"/>
          <w:numId w:val="12"/>
        </w:numPr>
      </w:pPr>
      <w:r>
        <w:rPr/>
        <w:t xml:space="preserve">Les branchements sont adaptés aux exigences définies au §7.</w:t>
      </w:r>
    </w:p>
    <w:p>
      <w:pPr>
        <w:pPr/>
        <w:numPr>
          <w:ilvl w:val="0"/>
          <w:numId w:val="12"/>
        </w:numPr>
      </w:pPr>
      <w:r>
        <w:rPr/>
        <w:t xml:space="preserve">Les angles des changements de direction doivent être obligatoirement adaptés au passage d’une caméra d’inspection dans le drain.</w:t>
      </w:r>
    </w:p>
    <w:p>
      <w:pPr>
        <w:pPr/>
        <w:numPr>
          <w:ilvl w:val="0"/>
          <w:numId w:val="12"/>
        </w:numPr>
      </w:pPr>
      <w:r>
        <w:rPr/>
        <w:t xml:space="preserve">Des dispositions spécifiques sont à prévoir (p.ex. pose d’un clapet anti-retour au point bas du réseau de drainage) dans le cas d’un système de drainage exposé à un risque de dégradation par des rongeurs.Préciser les modalités de réception de l’ouvrage constitué du produit décrit.Le groupe demande que la réception d’un ouvrage soit obligatoirement accompagnée d’une inspection vidéo, en ayant fait couler de l’eau au préalable dans le réseau de drains, dans le but d’identifier les éventuels (i) défauts de pente, (ii) défauts d’orientation de la cunette du drain et (iii) défauts de structure (absence de poinçonnement ou enfoncement). En présence de tels défauts, le tronçon devra être remis en état et inspecté de nouveau.(CR 155 - 16/03/2020)</w:t>
      </w:r>
    </w:p>
    <w:p>
      <w:pPr/>
      <w:r>
        <w:rPr/>
        <w:t xml:space="preserve">Ajouter un § « Réception » :« Une inspection vidéo doit être réalisée après la pose, en ayant fait couler de l’eau au préalable dans le réseau de drain, dans le but d’identifier les éventuels :</w:t>
      </w:r>
    </w:p>
    <w:p>
      <w:pPr>
        <w:pPr/>
        <w:numPr>
          <w:ilvl w:val="0"/>
          <w:numId w:val="13"/>
        </w:numPr>
      </w:pPr>
      <w:r>
        <w:rPr/>
        <w:t xml:space="preserve">défauts de pente, </w:t>
      </w:r>
    </w:p>
    <w:p>
      <w:pPr>
        <w:pPr/>
        <w:numPr>
          <w:ilvl w:val="0"/>
          <w:numId w:val="13"/>
        </w:numPr>
      </w:pPr>
      <w:r>
        <w:rPr/>
        <w:t xml:space="preserve">défauts d’orientation de la cunette du drain </w:t>
      </w:r>
    </w:p>
    <w:p>
      <w:pPr>
        <w:pPr/>
        <w:numPr>
          <w:ilvl w:val="0"/>
          <w:numId w:val="13"/>
        </w:numPr>
      </w:pPr>
      <w:r>
        <w:rPr/>
        <w:t xml:space="preserve">défauts de structure (absence de poinçonnement ou enfoncement).</w:t>
      </w:r>
    </w:p>
    <w:p>
      <w:pPr/>
      <w:r>
        <w:rPr/>
        <w:t xml:space="preserve">En présence de tels défauts, le tronçon doit être remis en état et inspecté de nouveau. »(CR 155 partie 1 - 16/03/2020)</w:t>
      </w:r>
    </w:p>
    <w:p>
      <w:pPr/>
      <w:r>
        <w:rPr/>
        <w:t xml:space="preserve">Les modalités de réception de l’ouvrage doivent être précisées, indépendamment de la nature du produit de drainage. </w:t>
      </w:r>
      <w:r>
        <w:rPr>
          <w:b/>
          <w:bCs/>
        </w:rPr>
        <w:t xml:space="preserve">La réception basée sur une inspection vidéo avant et après avoir fait couler de l’eau dans le drain est réservée aux systèmes de drainage adaptés à un passage caméra.</w:t>
      </w:r>
      <w:r>
        <w:rPr/>
        <w:t xml:space="preserve"> [CR GS 165 - 09/06/2021]</w:t>
      </w:r>
    </w:p>
    <w:p>
      <w:pPr/>
      <w:r>
        <w:rPr>
          <w:b/>
          <w:bCs/>
        </w:rPr>
        <w:t xml:space="preserve">Justification</w:t>
      </w:r>
    </w:p>
    <w:p>
      <w:pPr/>
      <w:r>
        <w:rPr/>
        <w:t xml:space="preserve">Une visite de chantier sera organisée avec l'instructeur. Fournir le guide de pose (doit être disponible en français).</w:t>
      </w:r>
    </w:p>
    <w:p>
      <w:pPr/>
      <w:r>
        <w:rPr>
          <w:rStyle w:val="font_h1"/>
        </w:rPr>
        <w:t xml:space="preserve">9. Entretien</w:t>
      </w:r>
    </w:p>
    <w:p>
      <w:pPr/>
      <w:r>
        <w:rPr/>
        <w:t xml:space="preserve">Validé par le Groupe Spécialisé le 20/08/2021</w:t>
      </w:r>
    </w:p>
    <w:p>
      <w:pPr/>
      <w:r>
        <w:rPr>
          <w:b/>
          <w:bCs/>
        </w:rPr>
        <w:t xml:space="preserve">Description</w:t>
      </w:r>
    </w:p>
    <w:p>
      <w:pPr/>
      <w:r>
        <w:rPr/>
        <w:t xml:space="preserve">Préciser les modalités d'entretien et de nettoyage de l'ouvrage constitué du produit décrit, c’est-à-dire :</w:t>
      </w:r>
    </w:p>
    <w:p>
      <w:pPr>
        <w:pPr/>
        <w:numPr>
          <w:ilvl w:val="0"/>
          <w:numId w:val="14"/>
        </w:numPr>
      </w:pPr>
      <w:r>
        <w:rPr/>
        <w:t xml:space="preserve">L’accès au drain, en termes de boîtes de branchement et de systèmes d’inspection,</w:t>
      </w:r>
    </w:p>
    <w:p>
      <w:pPr>
        <w:pPr/>
        <w:numPr>
          <w:ilvl w:val="0"/>
          <w:numId w:val="14"/>
        </w:numPr>
      </w:pPr>
      <w:r>
        <w:rPr/>
        <w:t xml:space="preserve">La solution retenue pour le curage, en précisanter la pression et le débit max à la pompe (hydrocurage), le type de buse à utiliser, ainsi que les outils à proscrire pour ne pas dégrader le drain.</w:t>
      </w:r>
    </w:p>
    <w:p>
      <w:pPr>
        <w:pPr/>
        <w:numPr>
          <w:ilvl w:val="0"/>
          <w:numId w:val="14"/>
        </w:numPr>
      </w:pPr>
      <w:r>
        <w:rPr/>
        <w:t xml:space="preserve">La fréquence d’inspection/nettoyage, en précisant qu’une inspection de l’intérieur du drain pour évaluer son état général (dégradations éventuelles par des racines, des rongeurs, etc.) et le niveau de particules fines est obligatoirement à réaliser à la fin de sa première année de mise en service. La fréquence d’inspection/nettoyage du drain, à fixer lors de la nouvelle demande, est adaptée au fur et à mesure des constats faits lors de ces entretiens. Chaque inspection est suivie, si nécessaire, d’un nettoyage du drain.(CR 157 – 23/07/2020)</w:t>
      </w:r>
    </w:p>
    <w:p>
      <w:pPr/>
      <w:r>
        <w:rPr/>
        <w:t xml:space="preserve">Dans le cas où des inspections télévisées du produit ne sont pas possibles, le Demandeur doit préciser une méthode alternative de suivi du bon fonctionnement du produit. [CR GS 165 - 09/06/2021]</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 (3 chantiers minimum à la révision de l’ATec) (CR 157 - 23/07/2020).</w:t>
      </w:r>
    </w:p>
    <w:p>
      <w:pPr/>
      <w:r>
        <w:rPr>
          <w:rStyle w:val="font_h1"/>
        </w:rPr>
        <w:t xml:space="preserve">10. Système qualité - contrôles</w:t>
      </w:r>
    </w:p>
    <w:p>
      <w:pPr>
        <w:ind w:left="720" w:right="0"/>
      </w:pPr>
      <w:r>
        <w:rPr>
          <w:rStyle w:val="font_h2"/>
        </w:rPr>
        <w:t xml:space="preserve">10.1. Contrôles internes</w:t>
      </w:r>
    </w:p>
    <w:p>
      <w:pPr/>
      <w:r>
        <w:rPr/>
        <w:t xml:space="preserve">Validé par le Groupe Spécialisé le 18/09/2019</w:t>
      </w:r>
    </w:p>
    <w:p>
      <w:pPr/>
      <w:r>
        <w:rPr>
          <w:b/>
          <w:bCs/>
        </w:rPr>
        <w:t xml:space="preserve">Description</w:t>
      </w:r>
    </w:p>
    <w:p>
      <w:pPr/>
      <w:r>
        <w:rPr/>
        <w:t xml:space="preserve">Décrire la nature et la fréquence des contrôles internes : </w:t>
      </w:r>
    </w:p>
    <w:p>
      <w:pPr>
        <w:pPr/>
        <w:numPr>
          <w:ilvl w:val="0"/>
          <w:numId w:val="15"/>
        </w:numPr>
      </w:pPr>
      <w:r>
        <w:rPr/>
        <w:t xml:space="preserve">contrôles à réception des matières premières : liste des essais et leur fréquence </w:t>
      </w:r>
    </w:p>
    <w:p>
      <w:pPr>
        <w:pPr/>
        <w:numPr>
          <w:ilvl w:val="0"/>
          <w:numId w:val="15"/>
        </w:numPr>
      </w:pPr>
      <w:r>
        <w:rPr/>
        <w:t xml:space="preserve">contrôles en cours de process : nature des contrôles et leur fréquence</w:t>
      </w:r>
    </w:p>
    <w:p>
      <w:pPr>
        <w:pPr/>
        <w:numPr>
          <w:ilvl w:val="0"/>
          <w:numId w:val="15"/>
        </w:numPr>
      </w:pPr>
      <w:r>
        <w:rPr/>
        <w:t xml:space="preserve">contrôles sur produits finis : liste des essais et leur fréquenceLorsque la fréquence des contrôles est définie par "lots", définir ce qu'est un "lot". Idem pour la notion de "poste", "campagne", etc.</w:t>
      </w:r>
    </w:p>
    <w:p>
      <w:pPr/>
      <w:r>
        <w:rPr/>
        <w:t xml:space="preserve">Préciser si l’unité de fabrication est certifiée ISO 9001 ou si le système qualité est basé sur l’ISO 9001.</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10.2. Contrôles externes</w:t>
      </w:r>
    </w:p>
    <w:p>
      <w:pPr/>
      <w:r>
        <w:rPr/>
        <w:t xml:space="preserve">Validé par le Groupe Spécialisé le 20/08/2021</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contrôle.Les caractéristiques suivie doivent être a minima :</w:t>
      </w:r>
      <w:r>
        <w:rPr>
          <w:b/>
          <w:bCs/>
        </w:rPr>
        <w:t xml:space="preserve">Pour des tubes :</w:t>
      </w:r>
    </w:p>
    <w:p>
      <w:pPr>
        <w:pPr/>
        <w:numPr>
          <w:ilvl w:val="0"/>
          <w:numId w:val="16"/>
        </w:numPr>
      </w:pPr>
      <w:r>
        <w:rPr/>
        <w:t xml:space="preserve">Caractéristiques dimensionnelles,</w:t>
      </w:r>
    </w:p>
    <w:p>
      <w:pPr>
        <w:pPr/>
        <w:numPr>
          <w:ilvl w:val="0"/>
          <w:numId w:val="16"/>
        </w:numPr>
      </w:pPr>
      <w:r>
        <w:rPr/>
        <w:t xml:space="preserve">Résistance mécanique (à adapter suivant le matériau - typiquement rigidité annulaire pour les tubes plastiques)</w:t>
      </w:r>
      <w:r>
        <w:rPr>
          <w:b/>
          <w:bCs/>
        </w:rPr>
        <w:t xml:space="preserve"> Pour des géotextiles - a minima :</w:t>
      </w:r>
    </w:p>
    <w:p>
      <w:pPr>
        <w:pPr/>
        <w:numPr>
          <w:ilvl w:val="0"/>
          <w:numId w:val="16"/>
        </w:numPr>
      </w:pPr>
      <w:r>
        <w:rPr/>
        <w:t xml:space="preserve">Masse surfacique,</w:t>
      </w:r>
    </w:p>
    <w:p>
      <w:pPr>
        <w:pPr/>
        <w:numPr>
          <w:ilvl w:val="0"/>
          <w:numId w:val="16"/>
        </w:numPr>
      </w:pPr>
      <w:r>
        <w:rPr/>
        <w:t xml:space="preserve">Ouverture de filtration,</w:t>
      </w:r>
    </w:p>
    <w:p>
      <w:pPr>
        <w:pPr/>
        <w:numPr>
          <w:ilvl w:val="0"/>
          <w:numId w:val="16"/>
        </w:numPr>
      </w:pPr>
      <w:r>
        <w:rPr/>
        <w:t xml:space="preserve">Perméabilité à l’eau normalement au plan,</w:t>
      </w:r>
    </w:p>
    <w:p>
      <w:pPr>
        <w:pPr/>
        <w:numPr>
          <w:ilvl w:val="0"/>
          <w:numId w:val="16"/>
        </w:numPr>
      </w:pPr>
      <w:r>
        <w:rPr/>
        <w:t xml:space="preserve">Caractéristiques mécaniques le cas échéant</w:t>
      </w:r>
    </w:p>
    <w:p>
      <w:pPr/>
      <w:r>
        <w:rPr/>
        <w:t xml:space="preserve">Pour s’assurer de la constance de la qualité de la production, un rapport annuel des éléments vus dans le cadre des contrôles externes de l’ATec/DTA doit être fourni au CSTB. [CR GS 165 - 09/06/2021]</w:t>
      </w:r>
    </w:p>
    <w:p>
      <w:pPr/>
      <w:r>
        <w:rPr>
          <w:b/>
          <w:bCs/>
        </w:rPr>
        <w:t xml:space="preserve">Justification</w:t>
      </w:r>
    </w:p>
    <w:p>
      <w:pPr/>
      <w:r>
        <w:rPr/>
        <w:t xml:space="preserve">Fournir le référentiel de la marque de certification assurant le suivi externe, en français ou anglais.Fournir les certificats existants.</w:t>
      </w:r>
    </w:p>
    <w:p>
      <w:pPr/>
      <w:r>
        <w:rPr>
          <w:b/>
          <w:bCs/>
        </w:rPr>
        <w:t xml:space="preserve">Critères d'évaluation</w:t>
      </w:r>
    </w:p>
    <w:p>
      <w:pPr/>
      <w:r>
        <w:rPr/>
        <w:t xml:space="preserve">Evaluation de la marque revendiquée (indépendance, lisibilité etc…)</w:t>
      </w:r>
    </w:p>
    <w:p>
      <w:pPr/>
      <w:r>
        <w:rPr>
          <w:rStyle w:val="font_h1"/>
        </w:rPr>
        <w:t xml:space="preserve">11. Références</w:t>
      </w:r>
    </w:p>
    <w:p>
      <w:pPr/>
      <w:r>
        <w:rPr/>
        <w:t xml:space="preserve">Validé par le Groupe Spécialisé le 18/09/2019</w:t>
      </w:r>
    </w:p>
    <w:p>
      <w:pPr/>
      <w:r>
        <w:rPr>
          <w:b/>
          <w:bCs/>
        </w:rPr>
        <w:t xml:space="preserve">Description</w:t>
      </w:r>
    </w:p>
    <w:p>
      <w:pPr/>
      <w:r>
        <w:rPr/>
        <w:t xml:space="preserve">Fournir une liste détaillée de références de chantiers </w:t>
      </w:r>
    </w:p>
    <w:p>
      <w:pPr/>
      <w:r>
        <w:rPr/>
        <w:t xml:space="preserve">Pour des révisions de dossiers, supprimer les références aux différentes évaluations européennes (CR GS n°139 - 15/06/2017)</w:t>
      </w:r>
    </w:p>
    <w:p>
      <w:pPr/>
      <w:r>
        <w:rPr>
          <w:b/>
          <w:bCs/>
        </w:rPr>
        <w:t xml:space="preserve">Justification</w:t>
      </w:r>
    </w:p>
    <w:p>
      <w:pPr/>
      <w:r>
        <w:rPr/>
        <w:t xml:space="preserve">Fournir une liste de références détaillée de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111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8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2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11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5A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3F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C8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52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2025-10-26T02:19:10+02:00</dcterms:created>
  <dcterms:modified xsi:type="dcterms:W3CDTF">2025-10-26T02:19:10+02:00</dcterms:modified>
</cp:coreProperties>
</file>

<file path=docProps/custom.xml><?xml version="1.0" encoding="utf-8"?>
<Properties xmlns="http://schemas.openxmlformats.org/officeDocument/2006/custom-properties" xmlns:vt="http://schemas.openxmlformats.org/officeDocument/2006/docPropsVTypes"/>
</file>