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2.1 - Édité le 16/01/2026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2.1 « Produits et procédés de façade légère 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Pare soleil</w:t>
      </w:r>
    </w:p>
    <w:p>
      <w:pPr/>
      <w:r>
        <w:rPr>
          <w:rStyle w:val="font_h1"/>
        </w:rPr>
        <w:t xml:space="preserve">1. Principe et domaine d'emploi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procédé:-La nature des travaux: neuf, rénovation-Le type de bâtiments visés: ERP, habitation, Code du travail, IGH-Le type de supports visés: béton, maçonneries, constructions à ossatures bois conforme au DTU 31.2 ou façade à ossatures bois conforme au pr DTU 31.4, façade légère conforme au DTU 33.1-Le type d'ossatures visées: bois, aluminium, acier-Les conditions de mise en œuvre revendiqués: orientations, inclinaisons.</w:t>
      </w:r>
    </w:p>
    <w:p>
      <w:pPr/>
      <w:r>
        <w:rPr>
          <w:rStyle w:val="font_h1"/>
        </w:rPr>
        <w:t xml:space="preserve">2. Description du procédé</w:t>
      </w:r>
    </w:p>
    <w:p>
      <w:pPr>
        <w:ind w:left="720" w:right="0"/>
      </w:pPr>
      <w:r>
        <w:rPr>
          <w:rStyle w:val="font_h2"/>
        </w:rPr>
        <w:t xml:space="preserve">2.1. Caractéristiques d'identification du procédé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Indiquer:-les types de parements (matériaux) et leurs finitions-les formats standards de fabrication des constituants-les épaisseurs-Les tolérances dimensionnelles des éléments standards de fabrication-Les tolérances dimensionnelles sur les éléments découpés au format-Les masses surfaciques nominales-Les coloris-Les déclarations environnementales-Les conditions de stockage des parements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concernant:-Les caractéristiques mécaniques du parement: résistance, module de flexion, coefficient de dilatation thermique, résistance au gel/dégel-La durabilité du parement-La durabilité des finitions du parement-La durabilité des dispositifs de fixation</w:t>
      </w:r>
    </w:p>
    <w:p>
      <w:pPr>
        <w:ind w:left="720" w:right="0"/>
      </w:pPr>
      <w:r>
        <w:rPr>
          <w:rStyle w:val="font_h2"/>
        </w:rPr>
        <w:t xml:space="preserve">2.2. Caractéristiques d'aptitude à l'emploi</w:t>
      </w:r>
    </w:p>
    <w:p>
      <w:pPr>
        <w:ind w:left="1440" w:right="0"/>
      </w:pPr>
      <w:r>
        <w:rPr>
          <w:rStyle w:val="font_h3"/>
        </w:rPr>
        <w:t xml:space="preserve">2.2.1. Stabilité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à la charge due au vent, et plus généralement à la charge due aux actions climatiques (neige dans le cas de lames positionnées proches de l’horizontale)Vérifier la tenue mécanique de l’ouvrage vis-à-vis des charges de poids-propre, climatique (vent et/ou neige et/ou accumulation de neige) et d’exploitation éventuelle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justification expérimentale suivant le cahier du CSTB 3517, et éventuellement essais en soufflerie pour évaluer les effets dynamiques (détachement tourbillonnaire), effets de groupe (lames multiples)</w:t>
      </w:r>
    </w:p>
    <w:p>
      <w:pPr>
        <w:ind w:left="1440" w:right="0"/>
      </w:pPr>
      <w:r>
        <w:rPr>
          <w:rStyle w:val="font_h3"/>
        </w:rPr>
        <w:t xml:space="preserve">2.2.2. Sécurité incendie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Réaction au feu du parement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PV de réaction au feu du parement réalisé par un laboratoire agréé</w:t>
      </w:r>
    </w:p>
    <w:p>
      <w:pPr>
        <w:ind w:left="1440" w:right="0"/>
      </w:pPr>
      <w:r>
        <w:rPr>
          <w:rStyle w:val="font_h3"/>
        </w:rPr>
        <w:t xml:space="preserve">2.2.4. choc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Résistance aux chocs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essais de résistance aux chocs suivant la norme NF P 08-302, réalisée par tierce partie, pour la conservation des performances.Fournir les essais spécifiques aux garde-corps, si configurations dans lesquelles le pare-soleil (en matériau durable) est également susceptible de remplir cette fonction.</w:t>
      </w:r>
    </w:p>
    <w:p>
      <w:pPr>
        <w:ind w:left="1440" w:right="0"/>
      </w:pPr>
      <w:r>
        <w:rPr>
          <w:rStyle w:val="font_h3"/>
        </w:rPr>
        <w:t xml:space="preserve">2.2.4. sismique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Justification de la tenue en zone sismique si mise en œuvre revendiquée en zone sismique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-Fournir la justification aux essais sismiques suivant le cahier du CSTB 3725-Fournir l'étude de stabilité en zone sismique réalisée par le CSTB: calcul des sollicitations sismiques dans les chevilles de fixation au support du système de pare-soleil</w:t>
      </w:r>
    </w:p>
    <w:p>
      <w:pPr>
        <w:ind w:left="1440" w:right="0"/>
      </w:pPr>
      <w:r>
        <w:rPr>
          <w:rStyle w:val="font_h3"/>
        </w:rPr>
        <w:t xml:space="preserve">2.2.5. Thermique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Transmission lumineuse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 calcul d'affaiblissement de la transmission lumineuse de l'énergie solaire selon les règles Th-S, réalisé par le CSTB</w:t>
      </w:r>
    </w:p>
    <w:p>
      <w:pPr/>
      <w:r>
        <w:rPr>
          <w:rStyle w:val="font_h1"/>
        </w:rPr>
        <w:t xml:space="preserve">3. Fabrication et contrôles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de fabrication et les autocontrôles associésPréciser le marquage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Prévoir une visite d'usine initiale puis un suivi annuel pendant la durée de validité de l'Avis Technique</w:t>
      </w:r>
    </w:p>
    <w:p>
      <w:pPr/>
      <w:r>
        <w:rPr>
          <w:rStyle w:val="font_h1"/>
        </w:rPr>
        <w:t xml:space="preserve">4. Mise en oeuvre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-Fournir la méthodologie d’assemblage du système pare-soleil-Fournir les détails de mise en œuvre en fonction du domaine d'emploi visé et ceux spécifiques au type de support-Fournir l'étude des tolérances admissibles du système tenant compte des différents supports et des tolérances liées à la fabrication et à la mise en œuvre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liste des références chantier: nom du projet, date de réalisation, adresse, organisme de contrôle technique.</w:t>
      </w:r>
    </w:p>
    <w:p>
      <w:pPr/>
      <w:r>
        <w:rPr>
          <w:b/>
          <w:bCs/>
        </w:rPr>
        <w:t xml:space="preserve">Illustration</w:t>
      </w:r>
    </w:p>
    <w:p>
      <w:pPr/>
      <w:r>
        <w:rPr/>
        <w:t xml:space="preserve">Fournir un dossier graphique avec les détails suivants :</w:t>
      </w:r>
    </w:p>
    <w:p>
      <w:pPr>
        <w:pPr/>
        <w:numPr>
          <w:ilvl w:val="0"/>
          <w:numId w:val="9"/>
        </w:numPr>
      </w:pPr>
      <w:r>
        <w:rPr/>
        <w:t xml:space="preserve">Description du procédé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façade légère en aluminium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construction à ossature bois</w:t>
      </w:r>
    </w:p>
    <w:p>
      <w:pPr>
        <w:pPr/>
        <w:numPr>
          <w:ilvl w:val="0"/>
          <w:numId w:val="9"/>
        </w:numPr>
      </w:pPr>
      <w:r>
        <w:rPr/>
        <w:t xml:space="preserve">Mise en œuvre du procédé sur une ossature</w:t>
      </w:r>
    </w:p>
    <w:p>
      <w:pPr/>
      <w:r>
        <w:rPr>
          <w:rStyle w:val="font_h1"/>
        </w:rPr>
        <w:t xml:space="preserve">5. Entretien et maintenance</w:t>
      </w:r>
    </w:p>
    <w:p>
      <w:pPr>
        <w:ind w:left="720" w:right="0"/>
      </w:pPr>
      <w:r>
        <w:rPr>
          <w:rStyle w:val="font_h2"/>
        </w:rPr>
        <w:t xml:space="preserve">5.1. Entretien et nettoyage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produits spécifiques à utiliser pour l'entretien et le nettoyage.Si besoin, indiquer les produits proscrits.</w:t>
      </w:r>
    </w:p>
    <w:p>
      <w:pPr>
        <w:ind w:left="720" w:right="0"/>
      </w:pPr>
      <w:r>
        <w:rPr>
          <w:rStyle w:val="font_h2"/>
        </w:rPr>
        <w:t xml:space="preserve">5.2. Remplacement</w:t>
      </w:r>
    </w:p>
    <w:p>
      <w:pPr/>
      <w:r>
        <w:rPr/>
        <w:t xml:space="preserve">Validé par le Groupe Spécialisé le 22/09/2020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procédure de remplacement d'un pare-soleil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0F25CB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2026-01-16T23:45:53+01:00</dcterms:created>
  <dcterms:modified xsi:type="dcterms:W3CDTF">2026-01-16T23:45:53+01:00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