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font_default"/>
        </w:rPr>
        <w:t xml:space="preserve">Document entériné par le Groupe Spécialisé n° 2.1 - Édité le 05/10/2026</w:t>
      </w:r>
    </w:p>
    <w:p>
      <w:pPr>
        <w:pStyle w:val="paragraph_centered"/>
      </w:pPr>
      <w:r>
        <w:rPr>
          <w:rStyle w:val="font_h1"/>
        </w:rPr>
        <w:t xml:space="preserve">Liste minimale des éléments habituellement demandés par le Groupe Spécialisé</w:t>
      </w:r>
    </w:p>
    <w:p>
      <w:pPr/>
      <w:r>
        <w:rPr>
          <w:rStyle w:val="font_h2"/>
        </w:rPr>
        <w:t xml:space="preserve">Groupe Spécialisé n° 2.1 « Produits et procédés de façade légère  »</w:t>
      </w:r>
    </w:p>
    <w:p>
      <w:pPr/>
      <w:r>
        <w:rPr>
          <w:rStyle w:val="font_default"/>
        </w:rPr>
        <w:t xml:space="preserve">Famille de produits ou procédés : </w:t>
      </w:r>
      <w:r>
        <w:rPr>
          <w:rStyle w:val="font_h3"/>
        </w:rPr>
        <w:t xml:space="preserve">Pare soleil</w:t>
      </w:r>
    </w:p>
    <w:p>
      <w:pPr/>
      <w:r>
        <w:rPr>
          <w:rStyle w:val="font_h1"/>
        </w:rPr>
        <w:t xml:space="preserve">1. Principe et domaine d'emploi</w:t>
      </w:r>
    </w:p>
    <w:p>
      <w:pPr/>
      <w:r>
        <w:rPr/>
        <w:t xml:space="preserve">Validé par le Groupe Spécialisé le 22/09/2020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Préciser pour le procédé:-La nature des travaux: neuf, rénovation-Le type de bâtiments visés: ERP, habitation, Code du travail, IGH-Le type de supports visés: béton, maçonneries, constructions à ossatures bois conforme au DTU 31.2 ou façade à ossatures bois conforme au pr DTU 31.4, façade légère conforme au DTU 33.1-Le type d'ossatures visées: bois, aluminium, acier-Les conditions de mise en œuvre revendiqués: orientations, inclinaisons.</w:t>
      </w:r>
    </w:p>
    <w:p>
      <w:pPr/>
      <w:r>
        <w:rPr>
          <w:rStyle w:val="font_h1"/>
        </w:rPr>
        <w:t xml:space="preserve">2. Description du procédé</w:t>
      </w:r>
    </w:p>
    <w:p>
      <w:pPr>
        <w:ind w:left="720" w:right="0"/>
      </w:pPr>
      <w:r>
        <w:rPr>
          <w:rStyle w:val="font_h2"/>
        </w:rPr>
        <w:t xml:space="preserve">2.1. Caractéristiques d'identification du procédé</w:t>
      </w:r>
    </w:p>
    <w:p>
      <w:pPr/>
      <w:r>
        <w:rPr/>
        <w:t xml:space="preserve">Validé par le Groupe Spécialisé le 22/09/2020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Indiquer:-les types de parements (matériaux) et leurs finitions-les formats standards de fabrication des constituants-les épaisseurs-Les tolérances dimensionnelles des éléments standards de fabrication-Les tolérances dimensionnelles sur les éléments découpés au format-Les masses surfaciques nominales-Les coloris-Les déclarations environnementales-Les conditions de stockage des parements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Fournir les rapports d'essais concernant:-Les caractéristiques mécaniques du parement: résistance, module de flexion, coefficient de dilatation thermique, résistance au gel/dégel-La durabilité du parement-La durabilité des finitions du parement-La durabilité des dispositifs de fixation</w:t>
      </w:r>
    </w:p>
    <w:p>
      <w:pPr>
        <w:ind w:left="720" w:right="0"/>
      </w:pPr>
      <w:r>
        <w:rPr>
          <w:rStyle w:val="font_h2"/>
        </w:rPr>
        <w:t xml:space="preserve">2.2. Caractéristiques d'aptitude à l'emploi</w:t>
      </w:r>
    </w:p>
    <w:p>
      <w:pPr>
        <w:ind w:left="1440" w:right="0"/>
      </w:pPr>
      <w:r>
        <w:rPr>
          <w:rStyle w:val="font_h3"/>
        </w:rPr>
        <w:t xml:space="preserve">2.2.1. Stabilité</w:t>
      </w:r>
    </w:p>
    <w:p>
      <w:pPr/>
      <w:r>
        <w:rPr/>
        <w:t xml:space="preserve">Validé par le Groupe Spécialisé le 22/09/2020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Résistance à la charge due au vent, et plus généralement à la charge due aux actions climatiques (neige dans le cas de lames positionnées proches de l’horizontale)Vérifier la tenue mécanique de l’ouvrage vis-à-vis des charges de poids-propre, climatique (vent et/ou neige et/ou accumulation de neige) et d’exploitation éventuelle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Fournir la justification expérimentale suivant le cahier du CSTB 3517, et éventuellement essais en soufflerie pour évaluer les effets dynamiques (détachement tourbillonnaire), effets de groupe (lames multiples)</w:t>
      </w:r>
    </w:p>
    <w:p>
      <w:pPr>
        <w:ind w:left="1440" w:right="0"/>
      </w:pPr>
      <w:r>
        <w:rPr>
          <w:rStyle w:val="font_h3"/>
        </w:rPr>
        <w:t xml:space="preserve">2.2.2. Sécurité incendie</w:t>
      </w:r>
    </w:p>
    <w:p>
      <w:pPr/>
      <w:r>
        <w:rPr/>
        <w:t xml:space="preserve">Validé par le Groupe Spécialisé le 22/09/2020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Réaction au feu du parement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Fournir le PV de réaction au feu du parement réalisé par un laboratoire agréé</w:t>
      </w:r>
    </w:p>
    <w:p>
      <w:pPr>
        <w:ind w:left="1440" w:right="0"/>
      </w:pPr>
      <w:r>
        <w:rPr>
          <w:rStyle w:val="font_h3"/>
        </w:rPr>
        <w:t xml:space="preserve">2.2.4. choc</w:t>
      </w:r>
    </w:p>
    <w:p>
      <w:pPr/>
      <w:r>
        <w:rPr/>
        <w:t xml:space="preserve">Validé par le Groupe Spécialisé le 22/09/2020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Résistance aux chocs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Fournir les essais de résistance aux chocs suivant la norme NF P 08-302, réalisée par tierce partie, pour la conservation des performances.Fournir les essais spécifiques aux garde-corps, si configurations dans lesquelles le pare-soleil (en matériau durable) est également susceptible de remplir cette fonction.</w:t>
      </w:r>
    </w:p>
    <w:p>
      <w:pPr>
        <w:ind w:left="1440" w:right="0"/>
      </w:pPr>
      <w:r>
        <w:rPr>
          <w:rStyle w:val="font_h3"/>
        </w:rPr>
        <w:t xml:space="preserve">2.2.4. sismique</w:t>
      </w:r>
    </w:p>
    <w:p>
      <w:pPr/>
      <w:r>
        <w:rPr/>
        <w:t xml:space="preserve">Validé par le Groupe Spécialisé le 22/09/2020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Justification de la tenue en zone sismique si mise en œuvre revendiquée en zone sismique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-Fournir la justification aux essais sismiques suivant le cahier du CSTB 3725-Fournir l'étude de stabilité en zone sismique réalisée par le CSTB: calcul des sollicitations sismiques dans les chevilles de fixation au support du système de pare-soleil</w:t>
      </w:r>
    </w:p>
    <w:p>
      <w:pPr>
        <w:ind w:left="1440" w:right="0"/>
      </w:pPr>
      <w:r>
        <w:rPr>
          <w:rStyle w:val="font_h3"/>
        </w:rPr>
        <w:t xml:space="preserve">2.2.5. Thermique</w:t>
      </w:r>
    </w:p>
    <w:p>
      <w:pPr/>
      <w:r>
        <w:rPr/>
        <w:t xml:space="preserve">Validé par le Groupe Spécialisé le 22/09/2020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Transmission lumineuse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Fournir le calcul d'affaiblissement de la transmission lumineuse de l'énergie solaire selon les règles Th-S, réalisé par le CSTB</w:t>
      </w:r>
    </w:p>
    <w:p>
      <w:pPr/>
      <w:r>
        <w:rPr>
          <w:rStyle w:val="font_h1"/>
        </w:rPr>
        <w:t xml:space="preserve">3. Fabrication et contrôles</w:t>
      </w:r>
    </w:p>
    <w:p>
      <w:pPr/>
      <w:r>
        <w:rPr/>
        <w:t xml:space="preserve">Validé par le Groupe Spécialisé le 22/09/2020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le processus de fabrication et les autocontrôles associésPréciser le marquage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Prévoir une visite d'usine initiale puis un suivi annuel pendant la durée de validité de l'Avis Technique</w:t>
      </w:r>
    </w:p>
    <w:p>
      <w:pPr/>
      <w:r>
        <w:rPr>
          <w:rStyle w:val="font_h1"/>
        </w:rPr>
        <w:t xml:space="preserve">4. Mise en oeuvre</w:t>
      </w:r>
    </w:p>
    <w:p>
      <w:pPr/>
      <w:r>
        <w:rPr/>
        <w:t xml:space="preserve">Validé par le Groupe Spécialisé le 22/09/2020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-Fournir la méthodologie d’assemblage du système pare-soleil-Fournir les détails de mise en œuvre en fonction du domaine d'emploi visé et ceux spécifiques au type de support-Fournir l'étude des tolérances admissibles du système tenant compte des différents supports et des tolérances liées à la fabrication et à la mise en œuvre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Fournir la liste des références chantier: nom du projet, date de réalisation, adresse, organisme de contrôle technique.</w:t>
      </w:r>
    </w:p>
    <w:p>
      <w:pPr/>
      <w:r>
        <w:rPr>
          <w:b/>
          <w:bCs/>
        </w:rPr>
        <w:t xml:space="preserve">Illustration</w:t>
      </w:r>
    </w:p>
    <w:p>
      <w:pPr/>
      <w:r>
        <w:rPr/>
        <w:t xml:space="preserve">Fournir un dossier graphique avec les détails suivants :</w:t>
      </w:r>
    </w:p>
    <w:p>
      <w:pPr>
        <w:pPr/>
        <w:numPr>
          <w:ilvl w:val="0"/>
          <w:numId w:val="9"/>
        </w:numPr>
      </w:pPr>
      <w:r>
        <w:rPr/>
        <w:t xml:space="preserve">Description du procédé</w:t>
      </w:r>
    </w:p>
    <w:p>
      <w:pPr>
        <w:pPr/>
        <w:numPr>
          <w:ilvl w:val="0"/>
          <w:numId w:val="9"/>
        </w:numPr>
      </w:pPr>
      <w:r>
        <w:rPr/>
        <w:t xml:space="preserve">Mise en œuvre du procédé sur une façade légère en aluminium</w:t>
      </w:r>
    </w:p>
    <w:p>
      <w:pPr>
        <w:pPr/>
        <w:numPr>
          <w:ilvl w:val="0"/>
          <w:numId w:val="9"/>
        </w:numPr>
      </w:pPr>
      <w:r>
        <w:rPr/>
        <w:t xml:space="preserve">Mise en œuvre du procédé sur une construction à ossature bois</w:t>
      </w:r>
    </w:p>
    <w:p>
      <w:pPr>
        <w:pPr/>
        <w:numPr>
          <w:ilvl w:val="0"/>
          <w:numId w:val="9"/>
        </w:numPr>
      </w:pPr>
      <w:r>
        <w:rPr/>
        <w:t xml:space="preserve">Mise en œuvre du procédé sur une ossature</w:t>
      </w:r>
    </w:p>
    <w:p>
      <w:pPr/>
      <w:r>
        <w:rPr>
          <w:rStyle w:val="font_h1"/>
        </w:rPr>
        <w:t xml:space="preserve">5. Entretien et maintenance</w:t>
      </w:r>
    </w:p>
    <w:p>
      <w:pPr>
        <w:ind w:left="720" w:right="0"/>
      </w:pPr>
      <w:r>
        <w:rPr>
          <w:rStyle w:val="font_h2"/>
        </w:rPr>
        <w:t xml:space="preserve">5.1. Entretien et nettoyage</w:t>
      </w:r>
    </w:p>
    <w:p>
      <w:pPr/>
      <w:r>
        <w:rPr/>
        <w:t xml:space="preserve">Validé par le Groupe Spécialisé le 22/09/2020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Indiquer les produits spécifiques à utiliser pour l'entretien et le nettoyage.Si besoin, indiquer les produits proscrits.</w:t>
      </w:r>
    </w:p>
    <w:p>
      <w:pPr>
        <w:ind w:left="720" w:right="0"/>
      </w:pPr>
      <w:r>
        <w:rPr>
          <w:rStyle w:val="font_h2"/>
        </w:rPr>
        <w:t xml:space="preserve">5.2. Remplacement</w:t>
      </w:r>
    </w:p>
    <w:p>
      <w:pPr/>
      <w:r>
        <w:rPr/>
        <w:t xml:space="preserve">Validé par le Groupe Spécialisé le 22/09/2020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la procédure de remplacement d'un pare-soleil</w:t>
      </w:r>
    </w:p>
    <w:sectPr>
      <w:headerReference w:type="default" r:id="rId7"/>
      <w:footerReference w:type="default" r:id="rId8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_footer"/>
    </w:pPr>
    <w:r>
      <w:rPr>
        <w:rStyle w:val="font_footer"/>
      </w:rPr>
      <w:t xml:space="preserve">Secrétariat : 84 avenue Jean-Jaurès – Champs-sur-Marne – F-77447 Marne-la-Vallée Cedex 2</w:t>
    </w:r>
    <w:br/>
    <w:r>
      <w:rPr>
        <w:rStyle w:val="font_footer"/>
      </w:rPr>
      <w:t xml:space="preserve">Tel : (33)01.64.68.85.60 - Fax : (33)01.64.68.85.65</w:t>
    </w:r>
    <w:br/>
    <w:r>
      <w:rPr>
        <w:rStyle w:val="font_footer"/>
      </w:rPr>
      <w:t xml:space="preserve">Serveur Internet : http://www.cstb.fr - E-mail : secretariat.at@cstb.fr</w:t>
    </w:r>
    <w:br/>
  </w:p>
  <w:p>
    <w:pPr>
      <w:pStyle w:val="paragraph_footer"/>
    </w:pPr>
    <w:r>
      <w:rPr>
        <w:rStyle w:val="font_footer"/>
      </w:rPr>
      <w:t xml:space="preserve">Page </w:t>
    </w:r>
    <w:r>
      <w:fldChar w:fldCharType="begin"/>
    </w:r>
    <w:r>
      <w:rPr>
        <w:rStyle w:val="font_footer"/>
      </w:rPr>
      <w:instrText xml:space="preserve">PAGE</w:instrText>
    </w:r>
    <w:r>
      <w:fldChar w:fldCharType="separate"/>
    </w:r>
    <w:r>
      <w:fldChar w:fldCharType="end"/>
    </w:r>
    <w:r>
      <w:rPr>
        <w:rStyle w:val="font_footer"/>
      </w:rPr>
      <w:t xml:space="preserve"> sur </w:t>
    </w:r>
    <w:r>
      <w:fldChar w:fldCharType="begin"/>
    </w:r>
    <w:r>
      <w:rPr>
        <w:rStyle w:val="font_footer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</w:p>
  <w:p>
    <w:pPr/>
    <w:r>
      <w:pict>
        <v:shape type="#_x0000_t75" style="width:170pt; height:60pt; margin-left:0pt; margin-top:0pt; mso-position-horizontal:left; mso-position-vertical:top; mso-position-horizontal-relative:char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">
    <w:nsid w:val="96F7D68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font_default">
    <w:name w:val="font_default"/>
    <w:basedOn w:val="Normal"/>
    <w:pPr>
      <w:spacing w:line="240" w:lineRule="auto"/>
    </w:pPr>
    <w:rPr>
      <w:rFonts w:ascii="Calibri" w:hAnsi="Calibri" w:eastAsia="Calibri" w:cs="Calibri"/>
      <w:color w:val="000000"/>
      <w:sz w:val="22"/>
      <w:szCs w:val="22"/>
    </w:rPr>
  </w:style>
  <w:style w:type="character">
    <w:name w:val="font_h1"/>
    <w:rPr>
      <w:rFonts w:ascii="Calibri" w:hAnsi="Calibri" w:eastAsia="Calibri" w:cs="Calibri"/>
      <w:color w:val="000000"/>
      <w:sz w:val="28"/>
      <w:szCs w:val="28"/>
      <w:b/>
      <w:bCs/>
    </w:rPr>
  </w:style>
  <w:style w:type="character">
    <w:name w:val="font_h2"/>
    <w:rPr>
      <w:rFonts w:ascii="Calibri" w:hAnsi="Calibri" w:eastAsia="Calibri" w:cs="Calibri"/>
      <w:color w:val="000000"/>
      <w:sz w:val="24"/>
      <w:szCs w:val="24"/>
      <w:b/>
      <w:bCs/>
    </w:rPr>
  </w:style>
  <w:style w:type="character">
    <w:name w:val="font_h3"/>
    <w:rPr>
      <w:rFonts w:ascii="Calibri" w:hAnsi="Calibri" w:eastAsia="Calibri" w:cs="Calibri"/>
      <w:color w:val="000000"/>
      <w:sz w:val="22"/>
      <w:szCs w:val="22"/>
      <w:b/>
      <w:bCs/>
    </w:rPr>
  </w:style>
  <w:style w:type="character">
    <w:name w:val="font_footer"/>
    <w:rPr>
      <w:rFonts w:ascii="Calibri" w:hAnsi="Calibri" w:eastAsia="Calibri" w:cs="Calibri"/>
      <w:color w:val="000000"/>
      <w:sz w:val="20"/>
      <w:szCs w:val="20"/>
    </w:rPr>
  </w:style>
  <w:style w:type="paragraph" w:customStyle="1" w:styleId="paragraph_centered">
    <w:name w:val="paragraph_centered"/>
    <w:basedOn w:val="Normal"/>
    <w:pPr>
      <w:jc w:val="center"/>
    </w:pPr>
  </w:style>
  <w:style w:type="paragraph" w:customStyle="1" w:styleId="paragraph_footer">
    <w:name w:val="paragraph_footer"/>
    <w:basedOn w:val="Normal"/>
    <w:pPr>
      <w:jc w:val="center"/>
      <w:spacing w:after="0" w:line="240" w:lineRule="auto"/>
    </w:pPr>
  </w:style>
  <w:style w:type="table" w:customStyle="1" w:styleId="table">
    <w:name w:val="table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  <w:tblBorders>
        <w:top w:val="single" w:sz="6" w:color="444444"/>
        <w:left w:val="single" w:sz="6" w:color="444444"/>
        <w:right w:val="single" w:sz="6" w:color="444444"/>
        <w:bottom w:val="single" w:sz="6" w:color="444444"/>
        <w:insideH w:val="single" w:sz="6" w:color="444444"/>
        <w:insideV w:val="single" w:sz="6" w:color="444444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2026-10-05T00:28:44+02:00</dcterms:created>
  <dcterms:modified xsi:type="dcterms:W3CDTF">2026-10-05T00:28:44+02:00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