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25/06/2026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Pare soleil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procédé:-La nature des travaux: neuf, rénovation-Le type de bâtiments visés: ERP, habitation, Code du travail, IGH-Le type de supports visés: béton, maçonneries, constructions à ossatures bois conforme au DTU 31.2 ou façade à ossatures bois conforme au pr DTU 31.4, façade légère conforme au DTU 33.1-Le type d'ossatures visées: bois, aluminium, acier-Les conditions de mise en œuvre revendiqués: orientations, inclinaisons.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Indiquer:-les types de parements (matériaux) et leurs finitions-les formats standards de fabrication des constituants-les épaisseurs-Les tolérances dimensionnelles des éléments standards de fabrication-Les tolérances dimensionnelles sur les éléments découpés au format-Les masses surfaciques nominales-Les coloris-Les déclarations environnementales-Les conditions de stockage des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concernant:-Les caractéristiques mécaniques du parement: résistance, module de flexion, coefficient de dilatation thermique, résistance au gel/dégel-La durabilité du parement-La durabilité des finitions du parement-La durabilité des dispositifs de fixation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Stabilité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à la charge due au vent, et plus généralement à la charge due aux actions climatiques (neige dans le cas de lames positionnées proches de l’horizontale)Vérifier la tenue mécanique de l’ouvrage vis-à-vis des charges de poids-propre, climatique (vent et/ou neige et/ou accumulation de neige) et d’exploitation éventuelle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expérimentale suivant le cahier du CSTB 3517, et éventuellement essais en soufflerie pour évaluer les effets dynamiques (détachement tourbillonnaire), effets de groupe (lames multiples)</w:t>
      </w:r>
    </w:p>
    <w:p>
      <w:pPr>
        <w:ind w:left="1440" w:right="0"/>
      </w:pPr>
      <w:r>
        <w:rPr>
          <w:rStyle w:val="font_h3"/>
        </w:rPr>
        <w:t xml:space="preserve">2.2.2. Sécurité incendie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Réaction au feu du parement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de réaction au feu du parement réalisé par un laboratoire agréé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aux chocs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essais de résistance aux chocs suivant la norme NF P 08-302, réalisée par tierce partie, pour la conservation des performances.Fournir les essais spécifiques aux garde-corps, si configurations dans lesquelles le pare-soleil (en matériau durable) est également susceptible de remplir cette fonction.</w:t>
      </w:r>
    </w:p>
    <w:p>
      <w:pPr>
        <w:ind w:left="1440" w:right="0"/>
      </w:pPr>
      <w:r>
        <w:rPr>
          <w:rStyle w:val="font_h3"/>
        </w:rPr>
        <w:t xml:space="preserve">2.2.4. sismique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 la tenue en zone sismique si mise en œuvre revendiquée en zone sismique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-Fournir la justification aux essais sismiques suivant le cahier du CSTB 3725-Fournir l'étude de stabilité en zone sismique réalisée par le CSTB: calcul des sollicitations sismiques dans les chevilles de fixation au support du système de pare-soleil</w:t>
      </w:r>
    </w:p>
    <w:p>
      <w:pPr>
        <w:ind w:left="1440" w:right="0"/>
      </w:pPr>
      <w:r>
        <w:rPr>
          <w:rStyle w:val="font_h3"/>
        </w:rPr>
        <w:t xml:space="preserve">2.2.5. Thermique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Transmission lumineuse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calcul d'affaiblissement de la transmission lumineuse de l'énergie solaire selon les règles Th-S, réalisé par le CSTB</w:t>
      </w:r>
    </w:p>
    <w:p>
      <w:pPr/>
      <w:r>
        <w:rPr>
          <w:rStyle w:val="font_h1"/>
        </w:rPr>
        <w:t xml:space="preserve">3. Fabrication et contrôles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de fabrication et les autocontrôles associésPréciser le marquage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une visite d'usine initiale puis un suivi annuel pendant la durée de validité de l'Avis Technique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-Fournir la méthodologie d’assemblage du système pare-soleil-Fournir les détails de mise en œuvre en fonction du domaine d'emploi visé et ceux spécifiques au type de support-Fournir l'étude des tolérances admissibles du système tenant compte des différents supports et des tolérances liées à la fabrication et à la mise en œuvre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liste des références chantier: nom du projet, date de réalisation, adresse, organisme de contrôle technique.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un dossier graphique avec les détails suivants :</w:t>
      </w:r>
    </w:p>
    <w:p>
      <w:pPr>
        <w:pPr/>
        <w:numPr>
          <w:ilvl w:val="0"/>
          <w:numId w:val="9"/>
        </w:numPr>
      </w:pPr>
      <w:r>
        <w:rPr/>
        <w:t xml:space="preserve">Description du procédé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façade légère en aluminium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construction à ossature bois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ossature</w:t>
      </w:r>
    </w:p>
    <w:p>
      <w:pPr/>
      <w:r>
        <w:rPr>
          <w:rStyle w:val="font_h1"/>
        </w:rPr>
        <w:t xml:space="preserve">5. Entretien et maintenance</w:t>
      </w:r>
    </w:p>
    <w:p>
      <w:pPr>
        <w:ind w:left="720" w:right="0"/>
      </w:pPr>
      <w:r>
        <w:rPr>
          <w:rStyle w:val="font_h2"/>
        </w:rPr>
        <w:t xml:space="preserve">5.1. Entretien et nettoyage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5.2. Remplacement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d'un pare-soleil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DDF2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2026-06-25T21:14:23+02:00</dcterms:created>
  <dcterms:modified xsi:type="dcterms:W3CDTF">2026-06-25T21:14:23+02:00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