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de vitrage extérieur attaché</w:t>
      </w:r>
    </w:p>
    <w:p>
      <w:pPr/>
      <w:r>
        <w:rPr>
          <w:rStyle w:val="font_h1"/>
        </w:rPr>
        <w:t xml:space="preserve">1. Principe et domaine d'emploi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règles de conception, de fabrication et de mise en œuvre sont précisées dans le cahier CSTB 3574-V2.Préciser et justifier le domaine d’emploi du système en zone sismique.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>
        <w:ind w:left="1440" w:right="0"/>
      </w:pPr>
      <w:r>
        <w:rPr>
          <w:rStyle w:val="font_h3"/>
        </w:rPr>
        <w:t xml:space="preserve">2.1.1. Vitrage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tolérances du vitrage (fabrication, assemblage).</w:t>
      </w:r>
    </w:p>
    <w:p>
      <w:pPr>
        <w:ind w:left="1440" w:right="0"/>
      </w:pPr>
      <w:r>
        <w:rPr>
          <w:rStyle w:val="font_h3"/>
        </w:rPr>
        <w:t xml:space="preserve">2.1.2. Vitrage isolant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Une validation par le GS 6 (Avis Technique) est nécessaire pour les systèmes suivants : les vitrages isolants, les vitrages simples feuilletés pour lesquels le couple de serrage est supérieur à 15N/m, et les vitrages simples feuilletés dont seul le composant intérieur est tenu par la fixation.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Résistance mécanique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les vérifications expérimentales du système VEA suivant le cahier CSTB n°3574-V2.</w:t>
      </w:r>
    </w:p>
    <w:p>
      <w:pPr>
        <w:ind w:left="1440" w:right="0"/>
      </w:pPr>
      <w:r>
        <w:rPr>
          <w:rStyle w:val="font_h3"/>
        </w:rPr>
        <w:t xml:space="preserve">2.2.2. Etude thermique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l’étude thermique suivant la réglementation en vigueur.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Une validation du CSTB sera donnée lors de l’évaluation.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2026-10-16T02:38:21+02:00</dcterms:created>
  <dcterms:modified xsi:type="dcterms:W3CDTF">2026-10-16T02:38:21+02:00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