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stratifié</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14/03/2024</w:t>
      </w:r>
    </w:p>
    <w:p>
      <w:pPr/>
      <w:r>
        <w:rPr>
          <w:b/>
          <w:bCs/>
        </w:rPr>
        <w:t xml:space="preserve">Description</w:t>
      </w:r>
    </w:p>
    <w:p>
      <w:pPr>
        <w:pPr/>
        <w:numPr>
          <w:ilvl w:val="0"/>
          <w:numId w:val="9"/>
        </w:numPr>
      </w:pPr>
      <w:r>
        <w:rPr/>
        <w:t xml:space="preserve">Caractéristiques techniques et d’aptitude à l’emploi du système et des éléments constitutifs du procédé/système</w:t>
      </w:r>
    </w:p>
    <w:p>
      <w:pPr>
        <w:pPr/>
        <w:numPr>
          <w:ilvl w:val="0"/>
          <w:numId w:val="9"/>
        </w:numPr>
      </w:pPr>
      <w:r>
        <w:rPr/>
        <w:t xml:space="preserve">Description des produits de mise en œuvre associés</w:t>
      </w:r>
    </w:p>
    <w:p>
      <w:pPr/>
      <w:r>
        <w:rPr>
          <w:b/>
          <w:bCs/>
        </w:rPr>
        <w:t xml:space="preserve">Justification</w:t>
      </w:r>
    </w:p>
    <w:p>
      <w:pPr>
        <w:pPr/>
        <w:numPr>
          <w:ilvl w:val="0"/>
          <w:numId w:val="10"/>
        </w:numPr>
      </w:pPr>
      <w:r>
        <w:rPr/>
        <w:t xml:space="preserve">Fiches de données de sécurité du revêtement et des matériaux ou produits associés qui sont soumis à cette obligation le cas échéant</w:t>
      </w:r>
    </w:p>
    <w:p>
      <w:pPr>
        <w:pPr/>
        <w:numPr>
          <w:ilvl w:val="0"/>
          <w:numId w:val="10"/>
        </w:numPr>
      </w:pPr>
      <w:r>
        <w:rPr/>
        <w:t xml:space="preserve">Durabilité et propriétés mécaniques (résistance à l’usure, au poinçonnement, au trafic roulant, au déplacement de meubles, stabilité dimensionnelle au caisson climatique, stabilité en gonflement), en fonction du domaine d’emploi revendiqué</w:t>
      </w:r>
    </w:p>
    <w:p>
      <w:pPr>
        <w:pPr/>
        <w:numPr>
          <w:ilvl w:val="0"/>
          <w:numId w:val="10"/>
        </w:numPr>
      </w:pPr>
      <w:r>
        <w:rPr/>
        <w:t xml:space="preserve">Justificatifs de conformité de la sous-couche annoncée comme acoustique aux exigences du CPT applicable (Cahier du CSTB n°3642_V2). Performance acoustique vérifiée par tierce partie accréditée (essai de type initial), caractéristiques et performances mécaniques de la couche de mousse préfabriquée rapportée en usine le cas échéant ; durabilité à l’usage de la performance acoustique</w:t>
      </w:r>
    </w:p>
    <w:p>
      <w:pPr>
        <w:pPr/>
        <w:numPr>
          <w:ilvl w:val="0"/>
          <w:numId w:val="10"/>
        </w:numPr>
      </w:pPr>
      <w:r>
        <w:rPr/>
        <w:t xml:space="preserve">Le cas échéant, justification de l’effet « antiglisse » apporté par l’envers du revêtement, si revendiqué.</w:t>
      </w:r>
    </w:p>
    <w:p>
      <w:pPr>
        <w:pPr/>
        <w:numPr>
          <w:ilvl w:val="0"/>
          <w:numId w:val="10"/>
        </w:numPr>
      </w:pPr>
      <w:r>
        <w:rPr/>
        <w:t xml:space="preserve">Justification de l’aptitude à l’emploi et des performances revendiquées pour le revêtement ou le système.</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Classement de réaction au feu sur les différentes natures de support admis pour le type de pose revendiqué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du justificatif de classement de réaction au feu</w:t>
      </w:r>
    </w:p>
    <w:p>
      <w:pPr>
        <w:pPr/>
        <w:numPr>
          <w:ilvl w:val="0"/>
          <w:numId w:val="11"/>
        </w:numPr>
      </w:pPr>
      <w:r>
        <w:rPr/>
        <w:t xml:space="preserve">Conformité du justificatif de déclaration environnementale, le cas échéant, des revêtements de sol et des autres produits ou matériaux utilisés pour la mise en œuvre</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w:t>
      </w:r>
    </w:p>
    <w:p>
      <w:pPr>
        <w:pPr/>
        <w:numPr>
          <w:ilvl w:val="0"/>
          <w:numId w:val="11"/>
        </w:numPr>
      </w:pPr>
      <w:r>
        <w:rPr/>
        <w:t xml:space="preserve">Conformité du justificatif de performance acoustique si performance acoustique revendiquée et durabilité de la performance acoustique le cas échéant</w:t>
      </w:r>
    </w:p>
    <w:p>
      <w:pPr>
        <w:pPr/>
        <w:numPr>
          <w:ilvl w:val="0"/>
          <w:numId w:val="11"/>
        </w:numPr>
      </w:pPr>
      <w:r>
        <w:rPr/>
        <w:t xml:space="preserve">Conformité des caractéristiques d’aptitude à l’emploi des revêtements avec la norme produit applicable pour le domaine d'emploi revendiqué</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Dans le cas de la pose sur plancher chauffant rafraichissant, conséquence d'une exposition prolongée à l'eau sur la stabilité et les performances mécaniques du revêtement et de la sous-couche le cas échéant</w:t>
      </w:r>
    </w:p>
    <w:p>
      <w:pPr/>
      <w:r>
        <w:rPr>
          <w:rStyle w:val="font_h1"/>
        </w:rPr>
        <w:t xml:space="preserve">4. Contrôle</w:t>
      </w:r>
    </w:p>
    <w:p>
      <w:pPr/>
      <w:r>
        <w:rPr>
          <w:rStyle w:val="font_h1"/>
        </w:rPr>
        <w:t xml:space="preserve">5. Fabrication</w:t>
      </w:r>
    </w:p>
    <w:p>
      <w:pPr/>
      <w:r>
        <w:rPr>
          <w:rStyle w:val="font_h1"/>
        </w:rPr>
        <w:t xml:space="preserve">6. Mise en œuvre</w:t>
      </w:r>
    </w:p>
    <w:p>
      <w:pPr/>
      <w:r>
        <w:rPr>
          <w:rStyle w:val="font_h1"/>
        </w:rPr>
        <w:t xml:space="preserve">7. Mise en service</w:t>
      </w:r>
    </w:p>
    <w:p>
      <w:pPr/>
      <w:r>
        <w:rPr>
          <w:rStyle w:val="font_h1"/>
        </w:rPr>
        <w:t xml:space="preserve">8. Utilisation - Entretien</w:t>
      </w:r>
    </w:p>
    <w:p>
      <w:pPr/>
      <w:r>
        <w:rPr>
          <w:rStyle w:val="font_h1"/>
        </w:rPr>
        <w:t xml:space="preserve">9. Surveillance - Réparation</w:t>
      </w:r>
    </w:p>
    <w:p>
      <w:pPr>
        <w:ind w:left="720" w:right="0"/>
      </w:pPr>
      <w:r>
        <w:rPr>
          <w:rStyle w:val="font_h2"/>
        </w:rPr>
        <w:t xml:space="preserve">9.1. Inspection annuelle et réparation éventuelle de l’étanchéité périphérique (cuisines et coins cuisines)</w:t>
      </w:r>
    </w:p>
    <w:p>
      <w:pPr>
        <w:ind w:left="720" w:right="0"/>
      </w:pPr>
      <w:r>
        <w:rPr>
          <w:rStyle w:val="font_h2"/>
        </w:rPr>
        <w:t xml:space="preserve">9.2. Inspection annuelle et réparation éventuelle de traces d’impact sur les lames de revêtement de sol (cuisines et coins cuisines)</w:t>
      </w:r>
    </w:p>
    <w:p>
      <w:pPr/>
      <w:r>
        <w:rPr>
          <w:rStyle w:val="font_h1"/>
        </w:rPr>
        <w:t xml:space="preserve">10. Assistance technique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97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4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64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2026-05-11T08:14:32+02:00</dcterms:created>
  <dcterms:modified xsi:type="dcterms:W3CDTF">2026-05-11T08:14:32+02:00</dcterms:modified>
</cp:coreProperties>
</file>

<file path=docProps/custom.xml><?xml version="1.0" encoding="utf-8"?>
<Properties xmlns="http://schemas.openxmlformats.org/officeDocument/2006/custom-properties" xmlns:vt="http://schemas.openxmlformats.org/officeDocument/2006/docPropsVTypes"/>
</file>