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03/12/2025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de toit</w:t>
      </w:r>
    </w:p>
    <w:p>
      <w:pPr/>
      <w:r>
        <w:rPr>
          <w:rStyle w:val="font_h1"/>
        </w:rPr>
        <w:t xml:space="preserve">1. Principe</w:t>
      </w:r>
    </w:p>
    <w:p>
      <w:pPr/>
      <w:r>
        <w:rPr>
          <w:rStyle w:val="font_h1"/>
        </w:rPr>
        <w:t xml:space="preserve">2. Matériaux</w:t>
      </w:r>
    </w:p>
    <w:p>
      <w:pPr>
        <w:ind w:left="720" w:right="0"/>
      </w:pPr>
      <w:r>
        <w:rPr>
          <w:rStyle w:val="font_h2"/>
        </w:rPr>
        <w:t xml:space="preserve">2.1. Pièces métalliques</w:t>
      </w:r>
    </w:p>
    <w:p>
      <w:pPr>
        <w:ind w:left="720" w:right="0"/>
      </w:pPr>
      <w:r>
        <w:rPr>
          <w:rStyle w:val="font_h2"/>
        </w:rPr>
        <w:t xml:space="preserve">2.2. Matériaux de synthèse</w:t>
      </w:r>
    </w:p>
    <w:p>
      <w:pPr>
        <w:ind w:left="720" w:right="0"/>
      </w:pPr>
      <w:r>
        <w:rPr>
          <w:rStyle w:val="font_h2"/>
        </w:rPr>
        <w:t xml:space="preserve">2.7. Matériaux d'étanchéité</w:t>
      </w:r>
    </w:p>
    <w:p>
      <w:pPr>
        <w:ind w:left="720" w:right="0"/>
      </w:pPr>
      <w:r>
        <w:rPr>
          <w:rStyle w:val="font_h2"/>
        </w:rPr>
        <w:t xml:space="preserve">2.9. Vitrages</w:t>
      </w:r>
    </w:p>
    <w:p>
      <w:pPr/>
      <w:r>
        <w:rPr>
          <w:rStyle w:val="font_h1"/>
        </w:rPr>
        <w:t xml:space="preserve">3. Eléments</w:t>
      </w:r>
    </w:p>
    <w:p>
      <w:pPr>
        <w:ind w:left="720" w:right="0"/>
      </w:pPr>
      <w:r>
        <w:rPr>
          <w:rStyle w:val="font_h2"/>
        </w:rPr>
        <w:t xml:space="preserve">3.1. Cadre dormant</w:t>
      </w:r>
    </w:p>
    <w:p>
      <w:pPr>
        <w:ind w:left="720" w:right="0"/>
      </w:pPr>
      <w:r>
        <w:rPr>
          <w:rStyle w:val="font_h2"/>
        </w:rPr>
        <w:t xml:space="preserve">3.2. Cadre ouvrant</w:t>
      </w:r>
    </w:p>
    <w:p>
      <w:pPr>
        <w:ind w:left="720" w:right="0"/>
      </w:pPr>
      <w:r>
        <w:rPr>
          <w:rStyle w:val="font_h2"/>
        </w:rPr>
        <w:t xml:space="preserve">3.3. Pivots</w:t>
      </w:r>
    </w:p>
    <w:p>
      <w:pPr>
        <w:ind w:left="720" w:right="0"/>
      </w:pPr>
      <w:r>
        <w:rPr>
          <w:rStyle w:val="font_h2"/>
        </w:rPr>
        <w:t xml:space="preserve">3.4. Profilés de capotage</w:t>
      </w:r>
    </w:p>
    <w:p>
      <w:pPr>
        <w:ind w:left="720" w:right="0"/>
      </w:pPr>
      <w:r>
        <w:rPr>
          <w:rStyle w:val="font_h2"/>
        </w:rPr>
        <w:t xml:space="preserve">3.5. Vitrage</w:t>
      </w:r>
    </w:p>
    <w:p>
      <w:pPr>
        <w:ind w:left="720" w:right="0"/>
      </w:pPr>
      <w:r>
        <w:rPr>
          <w:rStyle w:val="font_h2"/>
        </w:rPr>
        <w:t xml:space="preserve">3.6. Aération - Ventilation</w:t>
      </w:r>
    </w:p>
    <w:p>
      <w:pPr>
        <w:ind w:left="720" w:right="0"/>
      </w:pPr>
      <w:r>
        <w:rPr>
          <w:rStyle w:val="font_h2"/>
        </w:rPr>
        <w:t xml:space="preserve">3.7. Motorisation</w:t>
      </w:r>
    </w:p>
    <w:p>
      <w:pPr/>
      <w:r>
        <w:rPr>
          <w:rStyle w:val="font_h1"/>
        </w:rPr>
        <w:t xml:space="preserve">4. Fabrication</w:t>
      </w:r>
    </w:p>
    <w:p>
      <w:pPr/>
      <w:r>
        <w:rPr>
          <w:rStyle w:val="font_h1"/>
        </w:rPr>
        <w:t xml:space="preserve">5. Description des contrôles</w:t>
      </w:r>
    </w:p>
    <w:p>
      <w:pPr/>
      <w:r>
        <w:rPr>
          <w:rStyle w:val="font_h1"/>
        </w:rPr>
        <w:t xml:space="preserve">6. Mise en œuvre</w:t>
      </w:r>
    </w:p>
    <w:p>
      <w:pPr/>
      <w:r>
        <w:rPr>
          <w:rStyle w:val="font_h1"/>
        </w:rPr>
        <w:t xml:space="preserve">7. Jurisprudences</w:t>
      </w:r>
    </w:p>
    <w:p>
      <w:pPr>
        <w:ind w:left="720" w:right="0"/>
      </w:pPr>
      <w:r>
        <w:rPr>
          <w:rStyle w:val="font_h2"/>
        </w:rPr>
        <w:t xml:space="preserve">7.1. 2017 (12) Risques sismiques</w:t>
      </w:r>
    </w:p>
    <w:p>
      <w:pPr/>
      <w:r>
        <w:rPr/>
        <w:t xml:space="preserve">Validé par le Groupe Spécialisé le 02/01/2018</w:t>
      </w:r>
    </w:p>
    <w:p>
      <w:pPr/>
      <w:r>
        <w:rPr>
          <w:b/>
          <w:bCs/>
        </w:rPr>
        <w:t xml:space="preserve">Description</w:t>
      </w:r>
    </w:p>
    <w:p>
      <w:pPr/>
      <w:r>
        <w:rPr/>
        <w:t xml:space="preserve">Risques sismiques : 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7.2. 2018 (03) RUP et TOM</w:t>
      </w:r>
    </w:p>
    <w:p>
      <w:pPr/>
      <w:r>
        <w:rPr/>
        <w:t xml:space="preserve">Validé par le Groupe Spécialisé le 02/01/2018</w:t>
      </w:r>
    </w:p>
    <w:p>
      <w:pPr/>
      <w:r>
        <w:rPr>
          <w:b/>
          <w:bCs/>
        </w:rPr>
        <w:t xml:space="preserve">Description</w:t>
      </w:r>
    </w:p>
    <w:p>
      <w:pPr/>
      <w:r>
        <w:rPr/>
        <w:t xml:space="preserve">RUP et TOM :Le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7.3. 2018 (04) Systèmes de fenêtre comportant des éléments de menuiserie sans rupture thermique et/ou avec risque de condensation</w:t>
      </w:r>
    </w:p>
    <w:p>
      <w:pPr/>
      <w:r>
        <w:rPr/>
        <w:t xml:space="preserve">Validé par le Groupe Spécialisé le 02/01/2018</w:t>
      </w:r>
    </w:p>
    <w:p>
      <w:pPr/>
      <w:r>
        <w:rPr>
          <w:b/>
          <w:bCs/>
        </w:rPr>
        <w:t xml:space="preserve">Description</w:t>
      </w:r>
    </w:p>
    <w:p>
      <w:pPr/>
      <w:r>
        <w:rPr/>
        <w:t xml:space="preserve">Systèmes de fenêtre comportant des éléments de menuiserie sans rupture thermique et/ou avec risque de condensation :</w:t>
      </w:r>
    </w:p>
    <w:p>
      <w:pPr/>
      <w:r>
        <w:rPr/>
        <w:t xml:space="preserve">Le GS6 a analysé différents cas et conclue que les dispositions suivantes ne seront plus acceptées sans des justifications hygro-thermiques spécifiques :</w:t>
      </w:r>
    </w:p>
    <w:p>
      <w:pPr>
        <w:pPr/>
        <w:numPr>
          <w:ilvl w:val="0"/>
          <w:numId w:val="9"/>
        </w:numPr>
      </w:pPr>
      <w:r>
        <w:rPr/>
        <w:t xml:space="preserve">Seuils aluminium sans rupteur thermique</w:t>
      </w:r>
    </w:p>
    <w:p>
      <w:pPr>
        <w:pPr/>
        <w:numPr>
          <w:ilvl w:val="0"/>
          <w:numId w:val="9"/>
        </w:numPr>
      </w:pPr>
      <w:r>
        <w:rPr/>
        <w:t xml:space="preserve">Chicanes de coulissant sans rupteur thermique</w:t>
      </w:r>
    </w:p>
    <w:p>
      <w:pPr>
        <w:pPr/>
        <w:numPr>
          <w:ilvl w:val="0"/>
          <w:numId w:val="9"/>
        </w:numPr>
      </w:pPr>
      <w:r>
        <w:rPr/>
        <w:t xml:space="preserve">Poignée de manœuvre traversante sans rupteur thermique</w:t>
      </w:r>
    </w:p>
    <w:p>
      <w:pPr>
        <w:pPr/>
        <w:numPr>
          <w:ilvl w:val="0"/>
          <w:numId w:val="9"/>
        </w:numPr>
      </w:pPr>
      <w:r>
        <w:rPr/>
        <w:t xml:space="preserve">Profilé d'ouvrant sans rupteur thermique en contact directe avec le battement extérieur métallique</w:t>
      </w:r>
    </w:p>
    <w:p>
      <w:pPr>
        <w:pPr/>
        <w:numPr>
          <w:ilvl w:val="0"/>
          <w:numId w:val="9"/>
        </w:numPr>
      </w:pPr>
      <w:r>
        <w:rPr/>
        <w:t xml:space="preserve">Profilé de coffre traversant sans rupteur thermique</w:t>
      </w:r>
    </w:p>
    <w:p>
      <w:pPr>
        <w:ind w:left="720" w:right="0"/>
      </w:pPr>
      <w:r>
        <w:rPr>
          <w:rStyle w:val="font_h2"/>
        </w:rPr>
        <w:t xml:space="preserve">7.4.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7.5.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7.6.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7.7.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10"/>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10"/>
        </w:numPr>
      </w:pPr>
      <w:r>
        <w:rPr/>
        <w:t xml:space="preserve">Suppression des tableaux thermiques renvoyés vers le rapport de calculs thermiques attestés conformes au DTA, cité au paragraphe B Résultats expérimentaux.</w:t>
      </w:r>
    </w:p>
    <w:p>
      <w:pPr>
        <w:pPr/>
        <w:numPr>
          <w:ilvl w:val="0"/>
          <w:numId w:val="10"/>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10"/>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11"/>
        </w:numPr>
      </w:pPr>
      <w:r>
        <w:rPr/>
        <w:t xml:space="preserve">Profilés PVC : suppression du lieu d’extrusion dans le cas des profilés NF126 ;</w:t>
      </w:r>
    </w:p>
    <w:p>
      <w:pPr>
        <w:pPr/>
        <w:numPr>
          <w:ilvl w:val="0"/>
          <w:numId w:val="11"/>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7.8.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12"/>
        </w:numPr>
      </w:pPr>
      <w:r>
        <w:rPr/>
        <w:t xml:space="preserve">la pièce 3D soit géométriquement identique à la pièce finale,</w:t>
      </w:r>
    </w:p>
    <w:p>
      <w:pPr>
        <w:pPr/>
        <w:numPr>
          <w:ilvl w:val="0"/>
          <w:numId w:val="12"/>
        </w:numPr>
      </w:pPr>
      <w:r>
        <w:rPr/>
        <w:t xml:space="preserve">une date de mise à disposition de la pièce finale soit arrêtée,</w:t>
      </w:r>
    </w:p>
    <w:p>
      <w:pPr>
        <w:pPr/>
        <w:numPr>
          <w:ilvl w:val="0"/>
          <w:numId w:val="12"/>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7.9.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7.10.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7.11.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13"/>
        </w:numPr>
      </w:pPr>
      <w:r>
        <w:rPr/>
        <w:t xml:space="preserve">Vis inox A2 pour la fixation d’éléments démontables.</w:t>
      </w:r>
    </w:p>
    <w:p>
      <w:pPr>
        <w:pPr/>
        <w:numPr>
          <w:ilvl w:val="0"/>
          <w:numId w:val="13"/>
        </w:numPr>
      </w:pPr>
      <w:r>
        <w:rPr/>
        <w:t xml:space="preserve">Vis zinguées de classe 4 selon la norme EN 1670 pour les éléments non démontables.</w:t>
      </w:r>
    </w:p>
    <w:p>
      <w:pPr>
        <w:ind w:left="720" w:right="0"/>
      </w:pPr>
      <w:r>
        <w:rPr>
          <w:rStyle w:val="font_h2"/>
        </w:rPr>
        <w:t xml:space="preserve">7.12. 2021 (05) Modification du paragraphe type concernant les traitements de surface</w:t>
      </w:r>
    </w:p>
    <w:p>
      <w:pPr/>
      <w:r>
        <w:rPr/>
        <w:t xml:space="preserve">Validé par le Groupe Spécialisé le 17/06/2021</w:t>
      </w:r>
    </w:p>
    <w:p>
      <w:pPr/>
      <w:r>
        <w:rPr>
          <w:b/>
          <w:bCs/>
        </w:rPr>
        <w:t xml:space="preserve">Description</w:t>
      </w:r>
    </w:p>
    <w:p>
      <w:pPr/>
      <w:r>
        <w:rPr/>
        <w:t xml:space="preserve">Le paragraphe type devient « ils font l'objet […] pour le laquage, en fonction des prescriptions de la norme NF P24-351 ».</w:t>
      </w:r>
    </w:p>
    <w:p>
      <w:pPr>
        <w:ind w:left="720" w:right="0"/>
      </w:pPr>
      <w:r>
        <w:rPr>
          <w:rStyle w:val="font_h2"/>
        </w:rPr>
        <w:t xml:space="preserve">7.13.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7.14.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14"/>
        </w:numPr>
      </w:pPr>
      <w:r>
        <w:rPr/>
        <w:t xml:space="preserve">label Qualimarine avec alliage qualité bâtiment selon définition du DTU 33.1 ;</w:t>
      </w:r>
    </w:p>
    <w:p>
      <w:pPr/>
      <w:r>
        <w:rPr/>
        <w:t xml:space="preserve">ou bien</w:t>
      </w:r>
    </w:p>
    <w:p>
      <w:pPr>
        <w:pPr/>
        <w:numPr>
          <w:ilvl w:val="0"/>
          <w:numId w:val="15"/>
        </w:numPr>
      </w:pPr>
      <w:r>
        <w:rPr/>
        <w:t xml:space="preserve">label Qualicoat Seaside AA1 ou AA2 minimum avec alliage qualité bâtiment selon définition du DTU 33.1.</w:t>
      </w:r>
    </w:p>
    <w:p>
      <w:pPr>
        <w:ind w:left="720" w:right="0"/>
      </w:pPr>
      <w:r>
        <w:rPr>
          <w:rStyle w:val="font_h2"/>
        </w:rPr>
        <w:t xml:space="preserve">7.15.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7.16.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16"/>
        </w:numPr>
      </w:pPr>
      <w:r>
        <w:rPr/>
        <w:t xml:space="preserve">Garantir une constance de qualité de fabrication et une constance de la composition chimique.</w:t>
      </w:r>
    </w:p>
    <w:p>
      <w:pPr>
        <w:pPr/>
        <w:numPr>
          <w:ilvl w:val="0"/>
          <w:numId w:val="16"/>
        </w:numPr>
      </w:pPr>
      <w:r>
        <w:rPr/>
        <w:t xml:space="preserve">En cas de changement, informer le CSTB de toute modification de la composition de son produit.</w:t>
      </w:r>
    </w:p>
    <w:p>
      <w:pPr>
        <w:pPr/>
        <w:numPr>
          <w:ilvl w:val="0"/>
          <w:numId w:val="16"/>
        </w:numPr>
      </w:pPr>
      <w:r>
        <w:rPr/>
        <w:t xml:space="preserve">Assurer le contrôle qualité en fabrication garantissant les performances de son produit.</w:t>
      </w:r>
    </w:p>
    <w:p>
      <w:pPr>
        <w:ind w:left="720" w:right="0"/>
      </w:pPr>
      <w:r>
        <w:rPr>
          <w:rStyle w:val="font_h2"/>
        </w:rPr>
        <w:t xml:space="preserve">7.17.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7.18.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7.19.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7.20.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7.21. 2023 (12) Pièce imprimée en 3D</w:t>
      </w:r>
    </w:p>
    <w:p>
      <w:pPr>
        <w:ind w:left="720" w:right="0"/>
      </w:pPr>
      <w:r>
        <w:rPr>
          <w:rStyle w:val="font_h2"/>
        </w:rPr>
        <w:t xml:space="preserve">7.22.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7.23.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17"/>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17"/>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7.24. 2025 (02) Justification de la compatibilité et de l’adhésivité-cohésion des mastics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3E46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39F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574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8F5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3BD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DFAF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AD6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F03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C45A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2025-12-03T02:34:16+01:00</dcterms:created>
  <dcterms:modified xsi:type="dcterms:W3CDTF">2025-12-03T02:34:16+01:00</dcterms:modified>
</cp:coreProperties>
</file>

<file path=docProps/custom.xml><?xml version="1.0" encoding="utf-8"?>
<Properties xmlns="http://schemas.openxmlformats.org/officeDocument/2006/custom-properties" xmlns:vt="http://schemas.openxmlformats.org/officeDocument/2006/docPropsVTypes"/>
</file>