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Fenêtre de toit</w:t>
      </w:r>
    </w:p>
    <w:p>
      <w:pPr/>
      <w:r>
        <w:rPr>
          <w:rStyle w:val="font_h1"/>
        </w:rPr>
        <w:t xml:space="preserve">1. Principe</w:t>
      </w:r>
    </w:p>
    <w:p>
      <w:pPr/>
      <w:r>
        <w:rPr>
          <w:rStyle w:val="font_h1"/>
        </w:rPr>
        <w:t xml:space="preserve">2. Matériaux</w:t>
      </w:r>
    </w:p>
    <w:p>
      <w:pPr>
        <w:ind w:left="720" w:right="0"/>
      </w:pPr>
      <w:r>
        <w:rPr>
          <w:rStyle w:val="font_h2"/>
        </w:rPr>
        <w:t xml:space="preserve">2.1. Pièces métalliques</w:t>
      </w:r>
    </w:p>
    <w:p>
      <w:pPr>
        <w:ind w:left="720" w:right="0"/>
      </w:pPr>
      <w:r>
        <w:rPr>
          <w:rStyle w:val="font_h2"/>
        </w:rPr>
        <w:t xml:space="preserve">2.2. Matériaux de synthèse</w:t>
      </w:r>
    </w:p>
    <w:p>
      <w:pPr>
        <w:ind w:left="720" w:right="0"/>
      </w:pPr>
      <w:r>
        <w:rPr>
          <w:rStyle w:val="font_h2"/>
        </w:rPr>
        <w:t xml:space="preserve">2.7. Matériaux d'étanchéité</w:t>
      </w:r>
    </w:p>
    <w:p>
      <w:pPr>
        <w:ind w:left="720" w:right="0"/>
      </w:pPr>
      <w:r>
        <w:rPr>
          <w:rStyle w:val="font_h2"/>
        </w:rPr>
        <w:t xml:space="preserve">2.9. Vitrages</w:t>
      </w:r>
    </w:p>
    <w:p>
      <w:pPr/>
      <w:r>
        <w:rPr>
          <w:rStyle w:val="font_h1"/>
        </w:rPr>
        <w:t xml:space="preserve">3. Eléments</w:t>
      </w:r>
    </w:p>
    <w:p>
      <w:pPr>
        <w:ind w:left="720" w:right="0"/>
      </w:pPr>
      <w:r>
        <w:rPr>
          <w:rStyle w:val="font_h2"/>
        </w:rPr>
        <w:t xml:space="preserve">3.1. Cadre dormant</w:t>
      </w:r>
    </w:p>
    <w:p>
      <w:pPr>
        <w:ind w:left="720" w:right="0"/>
      </w:pPr>
      <w:r>
        <w:rPr>
          <w:rStyle w:val="font_h2"/>
        </w:rPr>
        <w:t xml:space="preserve">3.2. Cadre ouvrant</w:t>
      </w:r>
    </w:p>
    <w:p>
      <w:pPr>
        <w:ind w:left="720" w:right="0"/>
      </w:pPr>
      <w:r>
        <w:rPr>
          <w:rStyle w:val="font_h2"/>
        </w:rPr>
        <w:t xml:space="preserve">3.3. Pivots</w:t>
      </w:r>
    </w:p>
    <w:p>
      <w:pPr>
        <w:ind w:left="720" w:right="0"/>
      </w:pPr>
      <w:r>
        <w:rPr>
          <w:rStyle w:val="font_h2"/>
        </w:rPr>
        <w:t xml:space="preserve">3.4. Profilés de capotage</w:t>
      </w:r>
    </w:p>
    <w:p>
      <w:pPr>
        <w:ind w:left="720" w:right="0"/>
      </w:pPr>
      <w:r>
        <w:rPr>
          <w:rStyle w:val="font_h2"/>
        </w:rPr>
        <w:t xml:space="preserve">3.5. Vitrage</w:t>
      </w:r>
    </w:p>
    <w:p>
      <w:pPr>
        <w:ind w:left="720" w:right="0"/>
      </w:pPr>
      <w:r>
        <w:rPr>
          <w:rStyle w:val="font_h2"/>
        </w:rPr>
        <w:t xml:space="preserve">3.6. Aération - Ventilation</w:t>
      </w:r>
    </w:p>
    <w:p>
      <w:pPr>
        <w:ind w:left="720" w:right="0"/>
      </w:pPr>
      <w:r>
        <w:rPr>
          <w:rStyle w:val="font_h2"/>
        </w:rPr>
        <w:t xml:space="preserve">3.7. Motorisation</w:t>
      </w:r>
    </w:p>
    <w:p>
      <w:pPr/>
      <w:r>
        <w:rPr>
          <w:rStyle w:val="font_h1"/>
        </w:rPr>
        <w:t xml:space="preserve">4. Fabrication</w:t>
      </w:r>
    </w:p>
    <w:p>
      <w:pPr/>
      <w:r>
        <w:rPr>
          <w:rStyle w:val="font_h1"/>
        </w:rPr>
        <w:t xml:space="preserve">5. Description des contrôles</w:t>
      </w:r>
    </w:p>
    <w:p>
      <w:pPr/>
      <w:r>
        <w:rPr>
          <w:rStyle w:val="font_h1"/>
        </w:rPr>
        <w:t xml:space="preserve">6. Mise en œuvre</w:t>
      </w:r>
    </w:p>
    <w:p>
      <w:pPr/>
      <w:r>
        <w:rPr>
          <w:rStyle w:val="font_h1"/>
        </w:rPr>
        <w:t xml:space="preserve">7. Jurisprudences</w:t>
      </w:r>
    </w:p>
    <w:p>
      <w:pPr>
        <w:ind w:left="720" w:right="0"/>
      </w:pPr>
      <w:r>
        <w:rPr>
          <w:rStyle w:val="font_h2"/>
        </w:rPr>
        <w:t xml:space="preserve">7.1. 2017 (12) Risques sismiques</w:t>
      </w:r>
    </w:p>
    <w:p>
      <w:pPr/>
      <w:r>
        <w:rPr/>
        <w:t xml:space="preserve">Validé par le Groupe Spécialisé le 02/01/2018</w:t>
      </w:r>
    </w:p>
    <w:p>
      <w:pPr/>
      <w:r>
        <w:rPr>
          <w:b/>
          <w:bCs/>
        </w:rPr>
        <w:t xml:space="preserve">Description</w:t>
      </w:r>
    </w:p>
    <w:p>
      <w:pPr/>
      <w:r>
        <w:rPr/>
        <w:t xml:space="preserve">Risques sismiques : La phrase suivante sera ajoutée aux DTA :"Le présent système ne présentant pas d'éléments de remplissage supérieurs à 4 m², il n'y a pas lieu d'apporter de justifications particulières (conformément au "Guide de dimensionnement parasismique des élément non structuraux du cadre bâti" de septembre 2014).".Dans les cas où le système présenterait des remplissages de dimensions supérieures, le paragraphe sera adapté.</w:t>
      </w:r>
    </w:p>
    <w:p>
      <w:pPr>
        <w:ind w:left="720" w:right="0"/>
      </w:pPr>
      <w:r>
        <w:rPr>
          <w:rStyle w:val="font_h2"/>
        </w:rPr>
        <w:t xml:space="preserve">7.2. 2018 (03) RUP et TOM</w:t>
      </w:r>
    </w:p>
    <w:p>
      <w:pPr/>
      <w:r>
        <w:rPr/>
        <w:t xml:space="preserve">Validé par le Groupe Spécialisé le 02/01/2018</w:t>
      </w:r>
    </w:p>
    <w:p>
      <w:pPr/>
      <w:r>
        <w:rPr>
          <w:b/>
          <w:bCs/>
        </w:rPr>
        <w:t xml:space="preserve">Description</w:t>
      </w:r>
    </w:p>
    <w:p>
      <w:pPr/>
      <w:r>
        <w:rPr/>
        <w:t xml:space="preserve">RUP et TOM :Le GS rappelle que pour se prévaloir du domaine d’emploi dans les RUP et PTOM, il faut que la durabilité de la matière PVC ou de son revêtement (cas du plaxage ou de la laque) soit justifiée par des résultats d’essais satisfaisants en vieillissement artificiel après 6000H au WOM climat M méthode A cycle 1 de la NF EN 4892.</w:t>
      </w:r>
    </w:p>
    <w:p>
      <w:pPr>
        <w:ind w:left="720" w:right="0"/>
      </w:pPr>
      <w:r>
        <w:rPr>
          <w:rStyle w:val="font_h2"/>
        </w:rPr>
        <w:t xml:space="preserve">7.3. 2018 (04) Systèmes de fenêtre comportant des éléments de menuiserie sans rupture thermique et/ou avec risque de condensation</w:t>
      </w:r>
    </w:p>
    <w:p>
      <w:pPr/>
      <w:r>
        <w:rPr/>
        <w:t xml:space="preserve">Validé par le Groupe Spécialisé le 02/01/2018</w:t>
      </w:r>
    </w:p>
    <w:p>
      <w:pPr/>
      <w:r>
        <w:rPr>
          <w:b/>
          <w:bCs/>
        </w:rPr>
        <w:t xml:space="preserve">Description</w:t>
      </w:r>
    </w:p>
    <w:p>
      <w:pPr/>
      <w:r>
        <w:rPr/>
        <w:t xml:space="preserve">Systèmes de fenêtre comportant des éléments de menuiserie sans rupture thermique et/ou avec risque de condensation :</w:t>
      </w:r>
    </w:p>
    <w:p>
      <w:pPr/>
      <w:r>
        <w:rPr/>
        <w:t xml:space="preserve">Le GS6 a analysé différents cas et conclue que les dispositions suivantes ne seront plus acceptées sans des justifications hygro-thermiques spécifiques :</w:t>
      </w:r>
    </w:p>
    <w:p>
      <w:pPr>
        <w:pPr/>
        <w:numPr>
          <w:ilvl w:val="0"/>
          <w:numId w:val="9"/>
        </w:numPr>
      </w:pPr>
      <w:r>
        <w:rPr/>
        <w:t xml:space="preserve">Seuils aluminium sans rupteur thermique</w:t>
      </w:r>
    </w:p>
    <w:p>
      <w:pPr>
        <w:pPr/>
        <w:numPr>
          <w:ilvl w:val="0"/>
          <w:numId w:val="9"/>
        </w:numPr>
      </w:pPr>
      <w:r>
        <w:rPr/>
        <w:t xml:space="preserve">Chicanes de coulissant sans rupteur thermique</w:t>
      </w:r>
    </w:p>
    <w:p>
      <w:pPr>
        <w:pPr/>
        <w:numPr>
          <w:ilvl w:val="0"/>
          <w:numId w:val="9"/>
        </w:numPr>
      </w:pPr>
      <w:r>
        <w:rPr/>
        <w:t xml:space="preserve">Poignée de manœuvre traversante sans rupteur thermique</w:t>
      </w:r>
    </w:p>
    <w:p>
      <w:pPr>
        <w:pPr/>
        <w:numPr>
          <w:ilvl w:val="0"/>
          <w:numId w:val="9"/>
        </w:numPr>
      </w:pPr>
      <w:r>
        <w:rPr/>
        <w:t xml:space="preserve">Profilé d'ouvrant sans rupteur thermique en contact directe avec le battement extérieur métallique</w:t>
      </w:r>
    </w:p>
    <w:p>
      <w:pPr>
        <w:pPr/>
        <w:numPr>
          <w:ilvl w:val="0"/>
          <w:numId w:val="9"/>
        </w:numPr>
      </w:pPr>
      <w:r>
        <w:rPr/>
        <w:t xml:space="preserve">Profilé de coffre traversant sans rupteur thermique</w:t>
      </w:r>
    </w:p>
    <w:p>
      <w:pPr>
        <w:ind w:left="720" w:right="0"/>
      </w:pPr>
      <w:r>
        <w:rPr>
          <w:rStyle w:val="font_h2"/>
        </w:rPr>
        <w:t xml:space="preserve">7.4. 2018 (12) Pièces en impression 3D</w:t>
      </w:r>
    </w:p>
    <w:p>
      <w:pPr/>
      <w:r>
        <w:rPr/>
        <w:t xml:space="preserve">Validé par le Groupe Spécialisé le 07/03/2019</w:t>
      </w:r>
    </w:p>
    <w:p>
      <w:pPr/>
      <w:r>
        <w:rPr>
          <w:b/>
          <w:bCs/>
        </w:rPr>
        <w:t xml:space="preserve">Description</w:t>
      </w:r>
    </w:p>
    <w:p>
      <w:pPr/>
      <w:r>
        <w:rPr/>
        <w:t xml:space="preserve">Concernant les pièces réalisées en impression 3D, il sera systématiquement demandé une identification du couple matière/machine d’impression pour chaque pièce. Ces informations ne seront pas publiées dans le DTA mais archivées dans le dossier d’instruction.</w:t>
      </w:r>
    </w:p>
    <w:p>
      <w:pPr>
        <w:ind w:left="720" w:right="0"/>
      </w:pPr>
      <w:r>
        <w:rPr>
          <w:rStyle w:val="font_h2"/>
        </w:rPr>
        <w:t xml:space="preserve">7.5. 2019 (03) Domaine d'emploi et dimensions du système</w:t>
      </w:r>
    </w:p>
    <w:p>
      <w:pPr/>
      <w:r>
        <w:rPr/>
        <w:t xml:space="preserve">Validé par le Groupe Spécialisé le 07/03/2019</w:t>
      </w:r>
    </w:p>
    <w:p>
      <w:pPr/>
      <w:r>
        <w:rPr>
          <w:b/>
          <w:bCs/>
        </w:rPr>
        <w:t xml:space="preserve">Description</w:t>
      </w:r>
    </w:p>
    <w:p>
      <w:pPr/>
      <w:r>
        <w:rPr/>
        <w:t xml:space="preserve">Il sera désormais indiqué dans le paragraphe 2.1 Domaine d’emploi accepté des DTA, que « Le domaine d’emploi est prévu pour les dimensions indiquées dans le § Dimensions maximales du dossier technique établi par le demandeur. ».</w:t>
      </w:r>
    </w:p>
    <w:p>
      <w:pPr/>
      <w:r>
        <w:rPr/>
        <w:t xml:space="preserve">Pour les systèmes le permettant, il sera ajouté la mention « Pour les fabrications certifiées, des dimensions supérieures peuvent être envisagées. Elles sont alors précisées dans le Certificat de Qualification attribué au menuisier. ».</w:t>
      </w:r>
    </w:p>
    <w:p>
      <w:pPr>
        <w:ind w:left="720" w:right="0"/>
      </w:pPr>
      <w:r>
        <w:rPr>
          <w:rStyle w:val="font_h2"/>
        </w:rPr>
        <w:t xml:space="preserve">7.6. 2020 (02) Système ne disposant pas de solution d’entrée d’air</w:t>
      </w:r>
    </w:p>
    <w:p>
      <w:pPr/>
      <w:r>
        <w:rPr/>
        <w:t xml:space="preserve">Validé par le Groupe Spécialisé le 25/06/2020</w:t>
      </w:r>
    </w:p>
    <w:p>
      <w:pPr/>
      <w:r>
        <w:rPr>
          <w:b/>
          <w:bCs/>
        </w:rPr>
        <w:t xml:space="preserve">Description</w:t>
      </w:r>
    </w:p>
    <w:p>
      <w:pPr/>
      <w:r>
        <w:rPr/>
        <w:t xml:space="preserve">Lorsque le système ne dispose pas de solution d’entrée d’air, il devra être indiqué dans le paragraphe domaine d’emploi de la partie Avis et dans les remarques complémentaires du GS la phrase suivante : « Les pièces principales d’habitation et d’hébergement doivent être munies d’entrées d’air ou d’un dispositif de ventilation double flux pour que les fenêtres et portes-fenêtres puissent y être installées ».</w:t>
      </w:r>
    </w:p>
    <w:p>
      <w:pPr>
        <w:ind w:left="720" w:right="0"/>
      </w:pPr>
      <w:r>
        <w:rPr>
          <w:rStyle w:val="font_h2"/>
        </w:rPr>
        <w:t xml:space="preserve">7.7. 2020 (02) Présentation des premières conclusions du groupe de travail sur la simplification des DTA</w:t>
      </w:r>
    </w:p>
    <w:p>
      <w:pPr/>
      <w:r>
        <w:rPr/>
        <w:t xml:space="preserve">Validé par le Groupe Spécialisé le 25/06/2020</w:t>
      </w:r>
    </w:p>
    <w:p>
      <w:pPr/>
      <w:r>
        <w:rPr>
          <w:b/>
          <w:bCs/>
        </w:rPr>
        <w:t xml:space="preserve">Description</w:t>
      </w:r>
    </w:p>
    <w:p>
      <w:pPr/>
      <w:r>
        <w:rPr/>
        <w:t xml:space="preserve">Performances thermo-optiques : validé par le GS. </w:t>
      </w:r>
    </w:p>
    <w:p>
      <w:pPr>
        <w:pPr/>
        <w:numPr>
          <w:ilvl w:val="0"/>
          <w:numId w:val="10"/>
        </w:numPr>
      </w:pPr>
      <w:r>
        <w:rPr/>
        <w:t xml:space="preserve">Suppression des paragraphes a) à d2) remplacés par la phrase : « Les performances thermo-optiques du système ont fait l’objet d’une évaluation notament au regard de la RT existante à partir des calculs thermiques cités au paragraphe B Résultats expérimentaux. ».</w:t>
      </w:r>
    </w:p>
    <w:p>
      <w:pPr>
        <w:pPr/>
        <w:numPr>
          <w:ilvl w:val="0"/>
          <w:numId w:val="10"/>
        </w:numPr>
      </w:pPr>
      <w:r>
        <w:rPr/>
        <w:t xml:space="preserve">Suppression des tableaux thermiques renvoyés vers le rapport de calculs thermiques attestés conformes au DTA, cité au paragraphe B Résultats expérimentaux.</w:t>
      </w:r>
    </w:p>
    <w:p>
      <w:pPr>
        <w:pPr/>
        <w:numPr>
          <w:ilvl w:val="0"/>
          <w:numId w:val="10"/>
        </w:numPr>
      </w:pPr>
      <w:r>
        <w:rPr/>
        <w:t xml:space="preserve">Le rapport de calculs thermiques cité au paragraphe B Résultats expérimentaux devra obligatoirement contenir au minimum les mêmes configurations que celles demandées actuellement dans le DTA.</w:t>
      </w:r>
    </w:p>
    <w:p>
      <w:pPr>
        <w:pPr/>
        <w:numPr>
          <w:ilvl w:val="0"/>
          <w:numId w:val="10"/>
        </w:numPr>
      </w:pPr>
      <w:r>
        <w:rPr/>
        <w:t xml:space="preserve">Conformément à la présentation qui en avait été faite en séance, la simplification des performances thermo-optiques ne concerne pas les DTA des fenêtres de toit.</w:t>
      </w:r>
    </w:p>
    <w:p>
      <w:pPr/>
      <w:r>
        <w:rPr/>
        <w:t xml:space="preserve">Mises en œuvre (MEO) : le GS valide le fait de ne publier que les MEO qui sont hors NF DTU 36.5 et hors cahier 3709_V2.</w:t>
      </w:r>
    </w:p>
    <w:p>
      <w:pPr/>
      <w:r>
        <w:rPr/>
        <w:t xml:space="preserve">Simplification des informations des composants : seules les dispositions suivantes ont été validées :</w:t>
      </w:r>
    </w:p>
    <w:p>
      <w:pPr>
        <w:pPr/>
        <w:numPr>
          <w:ilvl w:val="0"/>
          <w:numId w:val="11"/>
        </w:numPr>
      </w:pPr>
      <w:r>
        <w:rPr/>
        <w:t xml:space="preserve">Profilés PVC : suppression du lieu d’extrusion dans le cas des profilés NF126 ;</w:t>
      </w:r>
    </w:p>
    <w:p>
      <w:pPr>
        <w:pPr/>
        <w:numPr>
          <w:ilvl w:val="0"/>
          <w:numId w:val="11"/>
        </w:numPr>
      </w:pPr>
      <w:r>
        <w:rPr/>
        <w:t xml:space="preserve">Profilés aluminium RPT : dans le cas des profilés QB49 suppression du lieu d’extrusion des demi-coquilles, de sertissage et du fournisseur de barrettes.</w:t>
      </w:r>
    </w:p>
    <w:p>
      <w:pPr/>
      <w:r>
        <w:rPr/>
        <w:t xml:space="preserve">Demande de création d’une prestation pour évolutions mineures : validée par le GS, cette prestation concernera uniquement la liste exhaustive des éléments indiqués sur la liste fournie en annexe. Cette nouvelle prestation fera l’objet d’une demande de validation auprès de la CCFAT.</w:t>
      </w:r>
    </w:p>
    <w:p>
      <w:pPr>
        <w:ind w:left="720" w:right="0"/>
      </w:pPr>
      <w:r>
        <w:rPr>
          <w:rStyle w:val="font_h2"/>
        </w:rPr>
        <w:t xml:space="preserve">7.8. 2020 (06) Pièce en impression 3D</w:t>
      </w:r>
    </w:p>
    <w:p>
      <w:pPr/>
      <w:r>
        <w:rPr/>
        <w:t xml:space="preserve">Validé par le Groupe Spécialisé le 24/09/2020</w:t>
      </w:r>
    </w:p>
    <w:p>
      <w:pPr/>
      <w:r>
        <w:rPr>
          <w:b/>
          <w:bCs/>
        </w:rPr>
        <w:t xml:space="preserve">Description</w:t>
      </w:r>
    </w:p>
    <w:p>
      <w:pPr/>
      <w:r>
        <w:rPr/>
        <w:t xml:space="preserve">Le GS6 accepte que les maquettes de présentation soient réalisées avec des pièces prototype en impression 3D, à condition que :</w:t>
      </w:r>
    </w:p>
    <w:p>
      <w:pPr>
        <w:pPr/>
        <w:numPr>
          <w:ilvl w:val="0"/>
          <w:numId w:val="12"/>
        </w:numPr>
      </w:pPr>
      <w:r>
        <w:rPr/>
        <w:t xml:space="preserve">la pièce 3D soit géométriquement identique à la pièce finale,</w:t>
      </w:r>
    </w:p>
    <w:p>
      <w:pPr>
        <w:pPr/>
        <w:numPr>
          <w:ilvl w:val="0"/>
          <w:numId w:val="12"/>
        </w:numPr>
      </w:pPr>
      <w:r>
        <w:rPr/>
        <w:t xml:space="preserve">une date de mise à disposition de la pièce finale soit arrêtée,</w:t>
      </w:r>
    </w:p>
    <w:p>
      <w:pPr>
        <w:pPr/>
        <w:numPr>
          <w:ilvl w:val="0"/>
          <w:numId w:val="12"/>
        </w:numPr>
      </w:pPr>
      <w:r>
        <w:rPr/>
        <w:t xml:space="preserve">la pièce finale, une fois existante, soit envoyée au CSTB pour vérifier la correspondance avec la pièce prototype (dans le délai des levées de réserves).</w:t>
      </w:r>
    </w:p>
    <w:p>
      <w:pPr>
        <w:ind w:left="720" w:right="0"/>
      </w:pPr>
      <w:r>
        <w:rPr>
          <w:rStyle w:val="font_h2"/>
        </w:rPr>
        <w:t xml:space="preserve">7.9. 2020 (09) Présentation des résultats d’étude thermique</w:t>
      </w:r>
    </w:p>
    <w:p>
      <w:pPr/>
      <w:r>
        <w:rPr/>
        <w:t xml:space="preserve">Validé par le Groupe Spécialisé le 29/10/2020</w:t>
      </w:r>
    </w:p>
    <w:p>
      <w:pPr/>
      <w:r>
        <w:rPr>
          <w:b/>
          <w:bCs/>
        </w:rPr>
        <w:t xml:space="preserve">Description</w:t>
      </w:r>
    </w:p>
    <w:p>
      <w:pPr/>
      <w:r>
        <w:rPr/>
        <w:t xml:space="preserve">Le tableau des valeurs thermique des Uw sera présenté au GS6 lors de la présentation du dossier mais ne sera pas publié (présent dans le rapport d’étude thermique du demandeur).</w:t>
      </w:r>
    </w:p>
    <w:p>
      <w:pPr>
        <w:ind w:left="720" w:right="0"/>
      </w:pPr>
      <w:r>
        <w:rPr>
          <w:rStyle w:val="font_h2"/>
        </w:rPr>
        <w:t xml:space="preserve">7.10. 2020 (12) Adhésivité / cohésion dans le cas des ossatures bois</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La compatibilité et la cohésion du pare-pluie, du pare-vapeur, du calfeutrement avec les parties du dormant de la fenêtre en contact, doivent être avérée.".</w:t>
      </w:r>
    </w:p>
    <w:p>
      <w:pPr>
        <w:ind w:left="720" w:right="0"/>
      </w:pPr>
      <w:r>
        <w:rPr>
          <w:rStyle w:val="font_h2"/>
        </w:rPr>
        <w:t xml:space="preserve">7.11. 2021 (03) Protection contre la corrosion des vis acier en contact avec l’Aluminium</w:t>
      </w:r>
    </w:p>
    <w:p>
      <w:pPr/>
      <w:r>
        <w:rPr/>
        <w:t xml:space="preserve">Validé par le Groupe Spécialisé le 06/05/2021</w:t>
      </w:r>
    </w:p>
    <w:p>
      <w:pPr/>
      <w:r>
        <w:rPr>
          <w:b/>
          <w:bCs/>
        </w:rPr>
        <w:t xml:space="preserve">Description</w:t>
      </w:r>
    </w:p>
    <w:p>
      <w:pPr/>
      <w:r>
        <w:rPr/>
        <w:t xml:space="preserve">Dans le cadre de la révision de la norme NF P23-305, le FCBA a consulté le GS6 sur le niveau de protection contre la corrosion des vis acier en contact avec l’aluminium. Le GS6 acte les protections minimales suivantes :</w:t>
      </w:r>
    </w:p>
    <w:p>
      <w:pPr>
        <w:pPr/>
        <w:numPr>
          <w:ilvl w:val="0"/>
          <w:numId w:val="13"/>
        </w:numPr>
      </w:pPr>
      <w:r>
        <w:rPr/>
        <w:t xml:space="preserve">Vis inox A2 pour la fixation d’éléments démontables.</w:t>
      </w:r>
    </w:p>
    <w:p>
      <w:pPr>
        <w:pPr/>
        <w:numPr>
          <w:ilvl w:val="0"/>
          <w:numId w:val="13"/>
        </w:numPr>
      </w:pPr>
      <w:r>
        <w:rPr/>
        <w:t xml:space="preserve">Vis zinguées de classe 4 selon la norme EN 1670 pour les éléments non démontables.</w:t>
      </w:r>
    </w:p>
    <w:p>
      <w:pPr>
        <w:ind w:left="720" w:right="0"/>
      </w:pPr>
      <w:r>
        <w:rPr>
          <w:rStyle w:val="font_h2"/>
        </w:rPr>
        <w:t xml:space="preserve">7.12. 2021 (05) Modification du paragraphe type concernant les traitements de surface</w:t>
      </w:r>
    </w:p>
    <w:p>
      <w:pPr/>
      <w:r>
        <w:rPr/>
        <w:t xml:space="preserve">Validé par le Groupe Spécialisé le 17/06/2021</w:t>
      </w:r>
    </w:p>
    <w:p>
      <w:pPr/>
      <w:r>
        <w:rPr>
          <w:b/>
          <w:bCs/>
        </w:rPr>
        <w:t xml:space="preserve">Description</w:t>
      </w:r>
    </w:p>
    <w:p>
      <w:pPr/>
      <w:r>
        <w:rPr/>
        <w:t xml:space="preserve">Le paragraphe type devient « ils font l'objet […] pour le laquage, en fonction des prescriptions de la norme NF P24-351 ».</w:t>
      </w:r>
    </w:p>
    <w:p>
      <w:pPr>
        <w:ind w:left="720" w:right="0"/>
      </w:pPr>
      <w:r>
        <w:rPr>
          <w:rStyle w:val="font_h2"/>
        </w:rPr>
        <w:t xml:space="preserve">7.13. 2021 (06) Déformation des habillages monoparois avec L* inférieur à 82 ou non défini</w:t>
      </w:r>
    </w:p>
    <w:p>
      <w:pPr/>
      <w:r>
        <w:rPr/>
        <w:t xml:space="preserve">Validé par le Groupe Spécialisé le 30/09/2021</w:t>
      </w:r>
    </w:p>
    <w:p>
      <w:pPr/>
      <w:r>
        <w:rPr>
          <w:b/>
          <w:bCs/>
        </w:rPr>
        <w:t xml:space="preserve">Description</w:t>
      </w:r>
    </w:p>
    <w:p>
      <w:pPr/>
      <w:r>
        <w:rPr/>
        <w:t xml:space="preserve">Le GS6 souhaite modifier la phrase type utilisée lorsqu'un habillage monoparoi avec L* inférieur à 82 ou non défini est utilisé en traverse basse extérieure. La phrase "Une exposition extérieure des profilés […] ou non défini peut occasionner des déformations permanentes de ces habillages" devient "Une exposition extérieure des profilés […] ou non défini peut occasionner un désordre esthétique sous forme de déformations permanentes de ces habillages".</w:t>
      </w:r>
    </w:p>
    <w:p>
      <w:pPr>
        <w:ind w:left="720" w:right="0"/>
      </w:pPr>
      <w:r>
        <w:rPr>
          <w:rStyle w:val="font_h2"/>
        </w:rPr>
        <w:t xml:space="preserve">7.14. 2021 (06) Exigence minimum pour les profilés aluminium laqués en bord de mer</w:t>
      </w:r>
    </w:p>
    <w:p>
      <w:pPr/>
      <w:r>
        <w:rPr/>
        <w:t xml:space="preserve">Validé par le Groupe Spécialisé le 30/09/2021</w:t>
      </w:r>
    </w:p>
    <w:p>
      <w:pPr/>
      <w:r>
        <w:rPr>
          <w:b/>
          <w:bCs/>
        </w:rPr>
        <w:t xml:space="preserve">Description</w:t>
      </w:r>
    </w:p>
    <w:p>
      <w:pPr/>
      <w:r>
        <w:rPr/>
        <w:t xml:space="preserve">En ce qui concerne le laquage des profilés aluminium pour les applications en bord de mer, le GS6 exige le niveau de justification minimum suivant :</w:t>
      </w:r>
    </w:p>
    <w:p>
      <w:pPr>
        <w:pPr/>
        <w:numPr>
          <w:ilvl w:val="0"/>
          <w:numId w:val="14"/>
        </w:numPr>
      </w:pPr>
      <w:r>
        <w:rPr/>
        <w:t xml:space="preserve">label Qualimarine avec alliage qualité bâtiment selon définition du DTU 33.1 ;</w:t>
      </w:r>
    </w:p>
    <w:p>
      <w:pPr/>
      <w:r>
        <w:rPr/>
        <w:t xml:space="preserve">ou bien</w:t>
      </w:r>
    </w:p>
    <w:p>
      <w:pPr>
        <w:pPr/>
        <w:numPr>
          <w:ilvl w:val="0"/>
          <w:numId w:val="15"/>
        </w:numPr>
      </w:pPr>
      <w:r>
        <w:rPr/>
        <w:t xml:space="preserve">label Qualicoat Seaside AA1 ou AA2 minimum avec alliage qualité bâtiment selon définition du DTU 33.1.</w:t>
      </w:r>
    </w:p>
    <w:p>
      <w:pPr>
        <w:ind w:left="720" w:right="0"/>
      </w:pPr>
      <w:r>
        <w:rPr>
          <w:rStyle w:val="font_h2"/>
        </w:rPr>
        <w:t xml:space="preserve">7.15. 2021 (11) Label Qualicoat</w:t>
      </w:r>
    </w:p>
    <w:p>
      <w:pPr/>
      <w:r>
        <w:rPr/>
        <w:t xml:space="preserve">Validé par le Groupe Spécialisé le 09/12/2021</w:t>
      </w:r>
    </w:p>
    <w:p>
      <w:pPr/>
      <w:r>
        <w:rPr>
          <w:b/>
          <w:bCs/>
        </w:rPr>
        <w:t xml:space="preserve">Description</w:t>
      </w:r>
    </w:p>
    <w:p>
      <w:pPr/>
      <w:r>
        <w:rPr/>
        <w:t xml:space="preserve">Les DTA feront référence au NF DTU 36.5 pour les définitions des alliages aluminium au lieu du NF DTU 33.1. La phrase type devient : « Ils font l’objet du label QUALICOAT, QUALIMARINE ou QUALICOAT SEASIDE (AA1 ou AA2 minimum) avec alliage qualité bâtiment selon définition du NF DTU 36.5 P1.2 pour le laquage et QUALANOD pour l’anodisation ».</w:t>
      </w:r>
    </w:p>
    <w:p>
      <w:pPr>
        <w:ind w:left="720" w:right="0"/>
      </w:pPr>
      <w:r>
        <w:rPr>
          <w:rStyle w:val="font_h2"/>
        </w:rPr>
        <w:t xml:space="preserve">7.16. 2022 (03) Examens des conditions de validité des systèmes avec vitrage collé</w:t>
      </w:r>
    </w:p>
    <w:p>
      <w:pPr/>
      <w:r>
        <w:rPr/>
        <w:t xml:space="preserve">Validé par le Groupe Spécialisé le 13/04/2022</w:t>
      </w:r>
    </w:p>
    <w:p>
      <w:pPr/>
      <w:r>
        <w:rPr>
          <w:b/>
          <w:bCs/>
        </w:rPr>
        <w:t xml:space="preserve">Description</w:t>
      </w:r>
    </w:p>
    <w:p>
      <w:pPr/>
      <w:r>
        <w:rPr/>
        <w:t xml:space="preserve">Le ruban adhésif VHB de la société 3M ne bénéficiant plus d’un ATE, il ne peut plus être utilisé de façon structurelle dans les DTA. Les fenêtres utilisant ce ruban doivent rester fonctionnelles et assurer la sécurité des personnes sans celui-ci.</w:t>
      </w:r>
    </w:p>
    <w:p>
      <w:pPr/>
      <w:r>
        <w:rPr/>
        <w:t xml:space="preserve">De façon générale, pour tous les systèmes collés, le fabriquant de colle devra apporter les preuvesde son engagement à :</w:t>
      </w:r>
    </w:p>
    <w:p>
      <w:pPr>
        <w:pPr/>
        <w:numPr>
          <w:ilvl w:val="0"/>
          <w:numId w:val="16"/>
        </w:numPr>
      </w:pPr>
      <w:r>
        <w:rPr/>
        <w:t xml:space="preserve">Garantir une constance de qualité de fabrication et une constance de la composition chimique.</w:t>
      </w:r>
    </w:p>
    <w:p>
      <w:pPr>
        <w:pPr/>
        <w:numPr>
          <w:ilvl w:val="0"/>
          <w:numId w:val="16"/>
        </w:numPr>
      </w:pPr>
      <w:r>
        <w:rPr/>
        <w:t xml:space="preserve">En cas de changement, informer le CSTB de toute modification de la composition de son produit.</w:t>
      </w:r>
    </w:p>
    <w:p>
      <w:pPr>
        <w:pPr/>
        <w:numPr>
          <w:ilvl w:val="0"/>
          <w:numId w:val="16"/>
        </w:numPr>
      </w:pPr>
      <w:r>
        <w:rPr/>
        <w:t xml:space="preserve">Assurer le contrôle qualité en fabrication garantissant les performances de son produit.</w:t>
      </w:r>
    </w:p>
    <w:p>
      <w:pPr>
        <w:ind w:left="720" w:right="0"/>
      </w:pPr>
      <w:r>
        <w:rPr>
          <w:rStyle w:val="font_h2"/>
        </w:rPr>
        <w:t xml:space="preserve">7.17. 2022 (05) Réaction au feu</w:t>
      </w:r>
    </w:p>
    <w:p>
      <w:pPr/>
      <w:r>
        <w:rPr/>
        <w:t xml:space="preserve">Validé par le Groupe Spécialisé le 15/06/2022</w:t>
      </w:r>
    </w:p>
    <w:p>
      <w:pPr/>
      <w:r>
        <w:rPr>
          <w:b/>
          <w:bCs/>
        </w:rPr>
        <w:t xml:space="preserve">Description</w:t>
      </w:r>
    </w:p>
    <w:p>
      <w:pPr/>
      <w:r>
        <w:rPr/>
        <w:t xml:space="preserve">Pour les systèmes présentant des PV d’essais de réaction au feu des profilés pour l’ensemble des différentes configurations possibles et si les classements obtenus sont M2 ou M1, la phrase suivante sera retirée de l’avis technique : « Pour les produits classes M3 ou M4, il est important de s’assurer de leur conformité vis-à-vis de la règlementation de sécurité incendie. ».</w:t>
      </w:r>
    </w:p>
    <w:p>
      <w:pPr>
        <w:ind w:left="720" w:right="0"/>
      </w:pPr>
      <w:r>
        <w:rPr>
          <w:rStyle w:val="font_h2"/>
        </w:rPr>
        <w:t xml:space="preserve">7.18. 2023 (03) Conclusions sur la simplification des DTA/AT</w:t>
      </w:r>
    </w:p>
    <w:p>
      <w:pPr/>
      <w:r>
        <w:rPr/>
        <w:t xml:space="preserve">Validé par le Groupe Spécialisé le 20/04/2023</w:t>
      </w:r>
    </w:p>
    <w:p>
      <w:pPr/>
      <w:r>
        <w:rPr>
          <w:b/>
          <w:bCs/>
        </w:rPr>
        <w:t xml:space="preserve">Description</w:t>
      </w:r>
    </w:p>
    <w:p>
      <w:pPr/>
      <w:r>
        <w:rPr/>
        <w:t xml:space="preserve">Le GS6 a acté le principe de simplification des DTA dont les dispositions sont disponibles au lien suivant. Ce lien renvoi vers la dernière version en vigueur, tenue à jour.</w:t>
      </w:r>
    </w:p>
    <w:p>
      <w:pPr>
        <w:ind w:left="720" w:right="0"/>
      </w:pPr>
      <w:r>
        <w:rPr>
          <w:rStyle w:val="font_h2"/>
        </w:rPr>
        <w:t xml:space="preserve">7.19. 2023 (06) Règles sismiques pour les fenêtres fixées sur deux côtés ou en bandes filantes</w:t>
      </w:r>
    </w:p>
    <w:p>
      <w:pPr/>
      <w:r>
        <w:rPr/>
        <w:t xml:space="preserve">Validé par le Groupe Spécialisé le 14/09/2023</w:t>
      </w:r>
    </w:p>
    <w:p>
      <w:pPr/>
      <w:r>
        <w:rPr>
          <w:b/>
          <w:bCs/>
        </w:rPr>
        <w:t xml:space="preserve">Description</w:t>
      </w:r>
    </w:p>
    <w:p>
      <w:pPr/>
      <w:r>
        <w:rPr/>
        <w:t xml:space="preserve">La jurisprudence actuelle prévoie que la phrase suivante soit indiquée dans les DTA au paragraphe « Pose en zone sismique » : « Le présent système ne présentant pas d'éléments de remplissage supérieurs à 4 m², il n'y a pas lieu d'apporter de justifications particulières (conformément au « Guide de dimensionnement parasismique des élément non structuraux du cadre bâti » de septembre 2014). ».</w:t>
      </w:r>
    </w:p>
    <w:p>
      <w:pPr/>
      <w:r>
        <w:rPr/>
        <w:t xml:space="preserve">Le GS6 souhaite que cette phrase soit modifiée comme suit : « Le présent système ne présentant pas d’éléments de remplissage supérieurs à 4 m² et ne prévoyant pas de disposition de mise en œuvre en bande filante, il n'y a pas lieu d'apporter de justifications particulières (conformément au « Guide de dimensionnement parasismique des élément non structuraux du cadre bâti » de septembre 2014). ». Dans les cas où un système de fenêtre prévoit des dispositions de mise en œuvre en bande filante, ou une fixation particulière il y aura lieu d’examiner les justifications particulières (par exemple des justifications conformes à la fiche technique n°49).</w:t>
      </w:r>
    </w:p>
    <w:p>
      <w:pPr>
        <w:ind w:left="720" w:right="0"/>
      </w:pPr>
      <w:r>
        <w:rPr>
          <w:rStyle w:val="font_h2"/>
        </w:rPr>
        <w:t xml:space="preserve">7.20. 2023 (12) Diffusions restreintes (ou terme équivalents)</w:t>
      </w:r>
    </w:p>
    <w:p>
      <w:pPr/>
      <w:r>
        <w:rPr/>
        <w:t xml:space="preserve">Validé par le Groupe Spécialisé le 01/02/2024</w:t>
      </w:r>
    </w:p>
    <w:p>
      <w:pPr/>
      <w:r>
        <w:rPr>
          <w:b/>
          <w:bCs/>
        </w:rPr>
        <w:t xml:space="preserve">Description</w:t>
      </w:r>
    </w:p>
    <w:p>
      <w:pPr/>
      <w:r>
        <w:rPr/>
        <w:t xml:space="preserve">Le GS6 ne souhaite plus voir apparaitre dans les dossiers les termes « diffusion restreinte », « diffusion spécifique », etc… Le GS6 se prononce sur la durabilité, la faisabilité et la capacité à mettre en œuvre un système : le DTA n’a pas vocation à être un catalogue technique.</w:t>
      </w:r>
    </w:p>
    <w:p>
      <w:pPr>
        <w:ind w:left="720" w:right="0"/>
      </w:pPr>
      <w:r>
        <w:rPr>
          <w:rStyle w:val="font_h2"/>
        </w:rPr>
        <w:t xml:space="preserve">7.21. 2023 (12) Pièce imprimée en 3D</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F4EBD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27918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BCEBAE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BC8B9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B86D28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763CC3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4F294A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2F8014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2024-03-28T11:05:51+01:00</dcterms:created>
  <dcterms:modified xsi:type="dcterms:W3CDTF">2024-03-28T11:05:51+01:00</dcterms:modified>
</cp:coreProperties>
</file>

<file path=docProps/custom.xml><?xml version="1.0" encoding="utf-8"?>
<Properties xmlns="http://schemas.openxmlformats.org/officeDocument/2006/custom-properties" xmlns:vt="http://schemas.openxmlformats.org/officeDocument/2006/docPropsVTypes"/>
</file>