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20/03/2026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Vitrage feuilleté</w:t>
      </w:r>
    </w:p>
    <w:p>
      <w:pPr/>
      <w:r>
        <w:rPr>
          <w:rStyle w:val="font_h1"/>
        </w:rPr>
        <w:t xml:space="preserve">1. Jurisprudences</w:t>
      </w:r>
    </w:p>
    <w:p>
      <w:pPr>
        <w:ind w:left="720" w:right="0"/>
      </w:pPr>
      <w:r>
        <w:rPr>
          <w:rStyle w:val="font_h2"/>
        </w:rPr>
        <w:t xml:space="preserve">1.1. 11 juin 2015 Vitrages feuilletés avec intercalaires structurels</w:t>
      </w:r>
    </w:p>
    <w:p>
      <w:pPr/>
      <w:r>
        <w:rPr/>
        <w:t xml:space="preserve">Validé par le Groupe Spécialisé le 03/12/2015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Position du GS 6 relative aux vitrages feuilletés avec intercalaires dits structurels.</w:t>
      </w:r>
    </w:p>
    <w:p>
      <w:pPr/>
      <w:r>
        <w:rPr/>
        <w:t xml:space="preserve">Il est retenu que ces systèmes de vitrages feuilletés relèvent de la procédure de Document Technique d’Application. Ceci résulte des principales considérations suivantes :</w:t>
      </w:r>
    </w:p>
    <w:p>
      <w:pPr>
        <w:pPr/>
        <w:numPr>
          <w:ilvl w:val="0"/>
          <w:numId w:val="9"/>
        </w:numPr>
      </w:pPr>
      <w:r>
        <w:rPr/>
        <w:t xml:space="preserve">approche commune des caractéristiques mécaniques,</w:t>
      </w:r>
    </w:p>
    <w:p>
      <w:pPr>
        <w:pPr/>
        <w:numPr>
          <w:ilvl w:val="0"/>
          <w:numId w:val="9"/>
        </w:numPr>
      </w:pPr>
      <w:r>
        <w:rPr/>
        <w:t xml:space="preserve">définition des éléments et caractéristiques relatives aux dimensionnements,</w:t>
      </w:r>
    </w:p>
    <w:p>
      <w:pPr>
        <w:pPr/>
        <w:numPr>
          <w:ilvl w:val="0"/>
          <w:numId w:val="9"/>
        </w:numPr>
      </w:pPr>
      <w:r>
        <w:rPr/>
        <w:t xml:space="preserve">absence de recul au regard de l’utilisation de ce type d’intercalaire,</w:t>
      </w:r>
    </w:p>
    <w:p>
      <w:pPr>
        <w:pPr/>
        <w:numPr>
          <w:ilvl w:val="0"/>
          <w:numId w:val="9"/>
        </w:numPr>
      </w:pPr>
      <w:r>
        <w:rPr/>
        <w:t xml:space="preserve">modalités de définition de la traçabilité en fonction des produits.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467E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2026-03-20T18:07:37+01:00</dcterms:created>
  <dcterms:modified xsi:type="dcterms:W3CDTF">2026-03-20T18:07:37+01:00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