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organique multiparoi</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nom commercial des vitrages organiques objets de la demande et aussi:</w:t>
      </w:r>
    </w:p>
    <w:p>
      <w:pPr>
        <w:pPr/>
        <w:numPr>
          <w:ilvl w:val="0"/>
          <w:numId w:val="9"/>
        </w:numPr>
      </w:pPr>
      <w:r>
        <w:rPr/>
        <w:t xml:space="preserve">Définir les différentes compositions de matières polycarbonate des vitrages (définir le matériau et indiquer toutes les références des matériaux polycarbonate et leur répartition);</w:t>
      </w:r>
    </w:p>
    <w:p>
      <w:pPr>
        <w:pPr/>
        <w:numPr>
          <w:ilvl w:val="0"/>
          <w:numId w:val="9"/>
        </w:numPr>
      </w:pPr>
      <w:r>
        <w:rPr/>
        <w:t xml:space="preserve">Décrire les différentes structures multiparoi des vitrages (référence, épaisseur totale (en mm), masse surfacique nominale (en g/m²));</w:t>
      </w:r>
    </w:p>
    <w:p>
      <w:pPr>
        <w:pPr/>
        <w:numPr>
          <w:ilvl w:val="0"/>
          <w:numId w:val="9"/>
        </w:numPr>
      </w:pPr>
      <w:r>
        <w:rPr/>
        <w:t xml:space="preserve">Décrire tous les coloris (par exemple: incolore, ton opal, ...).</w:t>
      </w:r>
    </w:p>
    <w:p>
      <w:pPr/>
      <w:r>
        <w:rPr>
          <w:rStyle w:val="font_h1"/>
        </w:rPr>
        <w:t xml:space="preserve">2. Domaine d'emploi</w:t>
      </w:r>
    </w:p>
    <w:p>
      <w:pPr/>
      <w:r>
        <w:rPr/>
        <w:t xml:space="preserve">Validé par le Groupe Spécialisé le 14/02/2020</w:t>
      </w:r>
    </w:p>
    <w:p>
      <w:pPr/>
      <w:r>
        <w:rPr>
          <w:b/>
          <w:bCs/>
        </w:rPr>
        <w:t xml:space="preserve">Description</w:t>
      </w:r>
    </w:p>
    <w:p>
      <w:pPr/>
      <w:r>
        <w:rPr/>
        <w:t xml:space="preserve">Préciser le domaine d’emploi des produits objet de la demande.L’indication précise des ouvrages ou parties d’ouvrages à la réalisation desquels le produit ou procédé est destiné.L’affectation et les localisations géographiques envisagées pour ces ouvrages.</w:t>
      </w:r>
    </w:p>
    <w:p>
      <w:pPr/>
      <w:r>
        <w:rPr>
          <w:rStyle w:val="font_h1"/>
        </w:rPr>
        <w:t xml:space="preserve">3. Elements de composition</w:t>
      </w:r>
    </w:p>
    <w:p>
      <w:pPr>
        <w:ind w:left="720" w:right="0"/>
      </w:pPr>
      <w:r>
        <w:rPr>
          <w:rStyle w:val="font_h2"/>
        </w:rPr>
        <w:t xml:space="preserve">3.1. Système alvéolaire</w:t>
      </w:r>
    </w:p>
    <w:p>
      <w:pPr/>
      <w:r>
        <w:rPr/>
        <w:t xml:space="preserve">Validé par le Groupe Spécialisé le 14/02/2020</w:t>
      </w:r>
    </w:p>
    <w:p>
      <w:pPr/>
      <w:r>
        <w:rPr>
          <w:b/>
          <w:bCs/>
        </w:rPr>
        <w:t xml:space="preserve">Description</w:t>
      </w:r>
    </w:p>
    <w:p>
      <w:pPr/>
      <w:r>
        <w:rPr/>
        <w:t xml:space="preserve">Dessin technique coté (avec les tolérances sur chaque cote) de chaque structure de vitrage (en fichier numérique avec extension .dwg)  à fournir.Masse surfacique nominale à renseigner, par structure.Les largeurs et les longueurs maximales produites à renseigner, par structure.Les tolérances sur les largeurs et sur les longueurs à renseigner, par structure (si différentes de celles spécifiées dans la norme NF EN 16153+A1: 18 avril 2015).</w:t>
      </w:r>
    </w:p>
    <w:p>
      <w:pPr>
        <w:ind w:left="720" w:right="0"/>
      </w:pPr>
      <w:r>
        <w:rPr>
          <w:rStyle w:val="font_h2"/>
        </w:rPr>
        <w:t xml:space="preserve">3.2. Matériaux organiques</w:t>
      </w:r>
    </w:p>
    <w:p>
      <w:pPr/>
      <w:r>
        <w:rPr/>
        <w:t xml:space="preserve">Validé par le Groupe Spécialisé le 14/02/2020</w:t>
      </w:r>
    </w:p>
    <w:p>
      <w:pPr/>
      <w:r>
        <w:rPr>
          <w:b/>
          <w:bCs/>
        </w:rPr>
        <w:t xml:space="preserve">Description</w:t>
      </w:r>
    </w:p>
    <w:p>
      <w:pPr/>
      <w:r>
        <w:rPr/>
        <w:t xml:space="preserve">Nature et liste du (ou des) système(s) de matières polycarbonate entrant dans la fabrication des vitrages (fiche technique par « matière polycarbonate » à fournir, par fournisseur) et répartition.Nature et liste des coloris, par structure multiparoi.Epaisseur minimale (en µm) de la couche de protection au rayonnement ultra-violet, à renseigner (par ton de couleur si différent et par type de structure multiparoi si différent).Code du système de matières polycarbonate à préciser (1 code par système: une lettre et un chiffre, si possible)</w:t>
      </w:r>
    </w:p>
    <w:p>
      <w:pPr/>
      <w:r>
        <w:rPr>
          <w:rStyle w:val="font_h1"/>
        </w:rPr>
        <w:t xml:space="preserve">4. Fabrication</w:t>
      </w:r>
    </w:p>
    <w:p>
      <w:pPr>
        <w:ind w:left="720" w:right="0"/>
      </w:pPr>
      <w:r>
        <w:rPr>
          <w:rStyle w:val="font_h2"/>
        </w:rPr>
        <w:t xml:space="preserve">4.1. Processus</w:t>
      </w:r>
    </w:p>
    <w:p>
      <w:pPr/>
      <w:r>
        <w:rPr/>
        <w:t xml:space="preserve">Validé par le Groupe Spécialisé le 14/02/2020</w:t>
      </w:r>
    </w:p>
    <w:p>
      <w:pPr/>
      <w:r>
        <w:rPr>
          <w:b/>
          <w:bCs/>
        </w:rPr>
        <w:t xml:space="preserve">Description</w:t>
      </w:r>
    </w:p>
    <w:p>
      <w:pPr/>
      <w:r>
        <w:rPr/>
        <w:t xml:space="preserve">Indiquer le lieu de fabrication (nom de la société, adresse, n° de TVA)Donner un descriptif du processus de fabrication.Préciser les moyens et ressources mis en place pour la maîtrise du processus de fabrication.Description complète du processus de fabrication avec l’indication des machines et outillages utilisés et des contrôles effectués, accompagnée des spécifications et tolérances de fabrication.Indiquer la teneur maximale possible de matières polycarbonate recyclé (qui sont produits sur site) pour la fabrication des vitrages organiques multiparoi.Définir le cas échéant, les modalités de protection des parois extérieures de la plaque multiparois lors du transport.</w:t>
      </w:r>
    </w:p>
    <w:p>
      <w:pPr>
        <w:ind w:left="720" w:right="0"/>
      </w:pPr>
      <w:r>
        <w:rPr>
          <w:rStyle w:val="font_h2"/>
        </w:rPr>
        <w:t xml:space="preserve">4.2. Marquage</w:t>
      </w:r>
    </w:p>
    <w:p>
      <w:pPr/>
      <w:r>
        <w:rPr/>
        <w:t xml:space="preserve">Validé par le Groupe Spécialisé le 14/02/2020</w:t>
      </w:r>
    </w:p>
    <w:p>
      <w:pPr/>
      <w:r>
        <w:rPr>
          <w:b/>
          <w:bCs/>
        </w:rPr>
        <w:t xml:space="preserve">Description</w:t>
      </w:r>
    </w:p>
    <w:p>
      <w:pPr/>
      <w:r>
        <w:rPr/>
        <w:t xml:space="preserve">Définir les modalités de marquage et de traçabilité des plaques polycarbonate.</w:t>
      </w:r>
    </w:p>
    <w:p>
      <w:pPr>
        <w:ind w:left="720" w:right="0"/>
      </w:pPr>
      <w:r>
        <w:rPr>
          <w:rStyle w:val="font_h2"/>
        </w:rPr>
        <w:t xml:space="preserve">4.3. Contrôles de fabrication</w:t>
      </w:r>
    </w:p>
    <w:p>
      <w:pPr>
        <w:ind w:left="1440" w:right="0"/>
      </w:pPr>
      <w:r>
        <w:rPr>
          <w:rStyle w:val="font_h3"/>
        </w:rPr>
        <w:t xml:space="preserve">4.3.1. Sur matières premières</w:t>
      </w:r>
    </w:p>
    <w:p>
      <w:pPr/>
      <w:r>
        <w:rPr/>
        <w:t xml:space="preserve">Validé par le Groupe Spécialisé le 14/02/2020</w:t>
      </w:r>
    </w:p>
    <w:p>
      <w:pPr/>
      <w:r>
        <w:rPr>
          <w:b/>
          <w:bCs/>
        </w:rPr>
        <w:t xml:space="preserve">Description</w:t>
      </w:r>
    </w:p>
    <w:p>
      <w:pPr/>
      <w:r>
        <w:rPr/>
        <w:t xml:space="preserve">Définir les contrôles à réception des matériaux et les moyens et ressources mis en place pour la maîtrise de ces processus.</w:t>
      </w:r>
    </w:p>
    <w:p>
      <w:pPr>
        <w:ind w:left="1440" w:right="0"/>
      </w:pPr>
      <w:r>
        <w:rPr>
          <w:rStyle w:val="font_h3"/>
        </w:rPr>
        <w:t xml:space="preserve">4.3.2. En cours de fabrication et sur produits finis</w:t>
      </w:r>
    </w:p>
    <w:p>
      <w:pPr/>
      <w:r>
        <w:rPr/>
        <w:t xml:space="preserve">Validé par le Groupe Spécialisé le 14/02/2020</w:t>
      </w:r>
    </w:p>
    <w:p>
      <w:pPr/>
      <w:r>
        <w:rPr>
          <w:b/>
          <w:bCs/>
        </w:rPr>
        <w:t xml:space="preserve">Description</w:t>
      </w:r>
    </w:p>
    <w:p>
      <w:pPr/>
      <w:r>
        <w:rPr/>
        <w:t xml:space="preserve">Définir les contrôles en fabrication, les essais sur plaques polycarbonate mis en place pour s’assurer de la maîtrise des processus de fabrication et de la qualité des produits.</w:t>
      </w:r>
    </w:p>
    <w:p>
      <w:pPr/>
      <w:r>
        <w:rPr>
          <w:rStyle w:val="font_h1"/>
        </w:rPr>
        <w:t xml:space="preserve">5. Conception</w:t>
      </w:r>
    </w:p>
    <w:p>
      <w:pPr>
        <w:ind w:left="720" w:right="0"/>
      </w:pPr>
      <w:r>
        <w:rPr>
          <w:rStyle w:val="font_h2"/>
        </w:rPr>
        <w:t xml:space="preserve">5.1. Détermination de l'épaisseur</w:t>
      </w:r>
    </w:p>
    <w:p>
      <w:pPr/>
      <w:r>
        <w:rPr/>
        <w:t xml:space="preserve">Validé par le Groupe Spécialisé le 14/02/2020</w:t>
      </w:r>
    </w:p>
    <w:p>
      <w:pPr/>
      <w:r>
        <w:rPr>
          <w:b/>
          <w:bCs/>
        </w:rPr>
        <w:t xml:space="preserve">Description</w:t>
      </w:r>
    </w:p>
    <w:p>
      <w:pPr/>
      <w:r>
        <w:rPr/>
        <w:t xml:space="preserve">Description des modes de dimensionnement du produit ou procédé.Définir les tableaux de charges maximales admissibles de mise en œuvre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5.2. Prise en feuillure sur 4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4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5.3. Prise en feuillure sur 3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3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w:t>
      </w:r>
    </w:p>
    <w:p>
      <w:pPr>
        <w:ind w:left="720" w:right="0"/>
      </w:pPr>
      <w:r>
        <w:rPr>
          <w:rStyle w:val="font_h2"/>
        </w:rPr>
        <w:t xml:space="preserve">5.4. Détermination de la dimension des feuillures</w:t>
      </w:r>
    </w:p>
    <w:p>
      <w:pPr>
        <w:ind w:left="1440" w:right="0"/>
      </w:pPr>
      <w:r>
        <w:rPr>
          <w:rStyle w:val="font_h3"/>
        </w:rPr>
        <w:t xml:space="preserve">5.4.1. Feuillure haute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supérieure.</w:t>
      </w:r>
    </w:p>
    <w:p>
      <w:pPr>
        <w:ind w:left="1440" w:right="0"/>
      </w:pPr>
      <w:r>
        <w:rPr>
          <w:rStyle w:val="font_h3"/>
        </w:rPr>
        <w:t xml:space="preserve">5.4.2. Feuillure basse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basse.</w:t>
      </w:r>
    </w:p>
    <w:p>
      <w:pPr>
        <w:ind w:left="1440" w:right="0"/>
      </w:pPr>
      <w:r>
        <w:rPr>
          <w:rStyle w:val="font_h3"/>
        </w:rPr>
        <w:t xml:space="preserve">5.4.3. Feuillures latérales</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laterale.</w:t>
      </w:r>
    </w:p>
    <w:p>
      <w:pPr/>
      <w:r>
        <w:rPr>
          <w:rStyle w:val="font_h1"/>
        </w:rPr>
        <w:t xml:space="preserve">6. Mise en oeuvre</w:t>
      </w:r>
    </w:p>
    <w:p>
      <w:pPr>
        <w:ind w:left="720" w:right="0"/>
      </w:pPr>
      <w:r>
        <w:rPr>
          <w:rStyle w:val="font_h2"/>
        </w:rPr>
        <w:t xml:space="preserve">6.1. Préparation des vitrages</w:t>
      </w:r>
    </w:p>
    <w:p>
      <w:pPr>
        <w:ind w:left="1440" w:right="0"/>
      </w:pPr>
      <w:r>
        <w:rPr>
          <w:rStyle w:val="font_h3"/>
        </w:rPr>
        <w:t xml:space="preserve">6.1.1. Découpage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p>
    <w:p>
      <w:pPr>
        <w:ind w:left="1440" w:right="0"/>
      </w:pPr>
      <w:r>
        <w:rPr>
          <w:rStyle w:val="font_h3"/>
        </w:rPr>
        <w:t xml:space="preserve">6.1.2. Obturation</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les références des bandes adhésives des bords coupés ouverts, haut et bas.</w:t>
      </w:r>
    </w:p>
    <w:p>
      <w:pPr>
        <w:ind w:left="1440" w:right="0"/>
      </w:pPr>
      <w:r>
        <w:rPr>
          <w:rStyle w:val="font_h3"/>
        </w:rPr>
        <w:t xml:space="preserve">6.1.3. Dispositions particulières</w:t>
      </w:r>
    </w:p>
    <w:p>
      <w:pPr/>
      <w:r>
        <w:rPr/>
        <w:t xml:space="preserve">Validé par le Groupe Spécialisé le 14/02/2020</w:t>
      </w:r>
    </w:p>
    <w:p>
      <w:pPr/>
      <w:r>
        <w:rPr>
          <w:b/>
          <w:bCs/>
        </w:rPr>
        <w:t xml:space="preserve">Description</w:t>
      </w:r>
    </w:p>
    <w:p>
      <w:pPr/>
      <w:r>
        <w:rPr/>
        <w:t xml:space="preserve">A renseigner s'il y a lieu.</w:t>
      </w:r>
    </w:p>
    <w:p>
      <w:pPr>
        <w:ind w:left="720" w:right="0"/>
      </w:pPr>
      <w:r>
        <w:rPr>
          <w:rStyle w:val="font_h2"/>
        </w:rPr>
        <w:t xml:space="preserve">6.2. Montage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 type de profilés d'étanchéité à utiliser.En cas d'un pose sur 3 côtés, indiquer le type de profilé de finition du bord libre.</w:t>
      </w:r>
    </w:p>
    <w:p>
      <w:pPr>
        <w:ind w:left="720" w:right="0"/>
      </w:pPr>
      <w:r>
        <w:rPr>
          <w:rStyle w:val="font_h2"/>
        </w:rPr>
        <w:t xml:space="preserve">6.3. Entretien - réparation -recommandations particulières</w:t>
      </w:r>
    </w:p>
    <w:p>
      <w:pPr/>
      <w:r>
        <w:rPr>
          <w:rStyle w:val="font_h1"/>
        </w:rPr>
        <w:t xml:space="preserve">7. Résultats expérimentaux</w:t>
      </w:r>
    </w:p>
    <w:p>
      <w:pPr/>
      <w:r>
        <w:rPr>
          <w:rStyle w:val="font_h1"/>
        </w:rPr>
        <w:t xml:space="preserve">8. Références de chantier</w:t>
      </w:r>
    </w:p>
    <w:p>
      <w:pPr/>
      <w:r>
        <w:rPr>
          <w:rStyle w:val="font_h1"/>
        </w:rPr>
        <w:t xml:space="preserve">9. Jurisprudences du Groupe Spécialisé n°6 &amp;quot;Vitrages&amp;quot;</w:t>
      </w:r>
    </w:p>
    <w:p>
      <w:pPr>
        <w:ind w:left="720" w:right="0"/>
      </w:pPr>
      <w:r>
        <w:rPr>
          <w:rStyle w:val="font_h2"/>
        </w:rPr>
        <w:t xml:space="preserve">9.1. Compte-rendu du 5 mars 2003: Pente minimale des ouvrages réalisés avec des plaques de polycarbonate.</w:t>
      </w:r>
    </w:p>
    <w:p>
      <w:pPr/>
      <w:r>
        <w:rPr/>
        <w:t xml:space="preserve">Validé par le Groupe Spécialisé le 13/06/2019</w:t>
      </w:r>
    </w:p>
    <w:p>
      <w:pPr/>
      <w:r>
        <w:rPr>
          <w:b/>
          <w:bCs/>
        </w:rPr>
        <w:t xml:space="preserve">Description</w:t>
      </w:r>
    </w:p>
    <w:p>
      <w:pPr/>
      <w:r>
        <w:rPr/>
        <w:t xml:space="preserve">Suite aux résultats de l’enquête réalisée in situ, il est retenu d’appliquer dorénavant les dispositions et conditions de mise en œuvre suivantes :a) pour les ouvrages ne présentant pas de traverse intermédiaire (en partie courante), la pente minimale nominale est de 5° (8,7 %).b) si les ouvrages comportent une ou plusieurs traverses intermédiaires (en partie courante), la pente minimale nominale est de 15°.c) dans le cas de pente minimale nominale de 5°, la surépaisseur du profilé mis en œuvre en rive basse, par rapport au plan extérieur des plaques doit être inférieure ou égale à 2 mm.d) la face supérieure des plaques devra être nettoyée au moins une fois par an et selon les prescriptions fournies par le fabricant (notice d’entretien).</w:t>
      </w:r>
    </w:p>
    <w:p>
      <w:pPr>
        <w:ind w:left="720" w:right="0"/>
      </w:pPr>
      <w:r>
        <w:rPr>
          <w:rStyle w:val="font_h2"/>
        </w:rPr>
        <w:t xml:space="preserve">9.2. Compte-rendu du 31 mars 2005: Système de vitrage organique multiparoi visé par un Document Technique d'Application (DTA).</w:t>
      </w:r>
    </w:p>
    <w:p>
      <w:pPr/>
      <w:r>
        <w:rPr/>
        <w:t xml:space="preserve">Validé par le Groupe Spécialisé le 13/06/2019</w:t>
      </w:r>
    </w:p>
    <w:p>
      <w:pPr/>
      <w:r>
        <w:rPr>
          <w:b/>
          <w:bCs/>
        </w:rPr>
        <w:t xml:space="preserve">Description</w:t>
      </w:r>
    </w:p>
    <w:p>
      <w:pPr/>
      <w:r>
        <w:rPr/>
        <w:t xml:space="preserve">Pour les systèmes de vitrages organiques multiparois visés par un Avis Technique, il est retenu les dispositions suivantes :a) il ne peut pas y avoir plusieurs désignations commerciales pour une géométrie de vitrage donnée, visée dans un Avis Technique.b) un type de vitrage est défini :b-1)    par une géométrie,b-2)    une teinte,b-3)    une masse surfacique nominale (avec une tolérance inférieure ne dépassant pas 3% de la masse surfacique nominale),c) pour une géométrie de vitrage associée à plusieurs masses surfaciques nominales.c-1)    soient les tableaux de charges sont établis à partir des vitrages correspondant à la masse surfacique nominale déclarée la plus faible. Les tableaux de charges sont applicables dans ce cas aux plaques avec des masses surfaciques supérieurs,c-2)    soient les tableaux de charges sont établis pour chaque masse surfacique nominale de vitrage.d) pour chaque type de vitrages incluant le cas échéant plusieurs masses surfaciques nominales, la totalité des matières utilisées doivent avoir été évaluées, sauf si la couleur enlève tout ambiguïté sur le fait que le vitrage soit visé ou pas par l’Avis Technique),e) l’ensemble des vitrages doit être marqué en incluant le logo « CCFAT » et la référence  au DTA sur la face extérieure du vitrage protégée contre le rayonnement ultra-violet.</w:t>
      </w:r>
    </w:p>
    <w:p>
      <w:pPr>
        <w:ind w:left="720" w:right="0"/>
      </w:pPr>
      <w:r>
        <w:rPr>
          <w:rStyle w:val="font_h2"/>
        </w:rPr>
        <w:t xml:space="preserve">9.3. Compte-rendu du 30 mars 2006: Cahier du CSTB n°3641, Note d’information n° 3 « Vitrage organique en PC ou en PMMA - Conditions générales d’emploi et de mise en œuvre ».</w:t>
      </w:r>
    </w:p>
    <w:p>
      <w:pPr/>
      <w:r>
        <w:rPr/>
        <w:t xml:space="preserve">Validé par le Groupe Spécialisé le 13/06/2019</w:t>
      </w:r>
    </w:p>
    <w:p>
      <w:pPr/>
      <w:r>
        <w:rPr>
          <w:b/>
          <w:bCs/>
        </w:rPr>
        <w:t xml:space="preserve">Description</w:t>
      </w:r>
    </w:p>
    <w:p>
      <w:pPr/>
      <w:r>
        <w:rPr/>
        <w:t xml:space="preserve">Examen et approbation  du Cahier du CSTB n°3641.</w:t>
      </w:r>
    </w:p>
    <w:p>
      <w:pPr>
        <w:ind w:left="720" w:right="0"/>
      </w:pPr>
      <w:r>
        <w:rPr>
          <w:rStyle w:val="font_h2"/>
        </w:rPr>
        <w:t xml:space="preserve">9.4. Compte-rendu du 6 décembre 2007</w:t>
      </w:r>
    </w:p>
    <w:p>
      <w:pPr/>
      <w:r>
        <w:rPr/>
        <w:t xml:space="preserve">Validé par le Groupe Spécialisé le 13/06/2019</w:t>
      </w:r>
    </w:p>
    <w:p>
      <w:pPr/>
      <w:r>
        <w:rPr>
          <w:b/>
          <w:bCs/>
        </w:rPr>
        <w:t xml:space="preserve">Description</w:t>
      </w:r>
    </w:p>
    <w:p>
      <w:pPr/>
      <w:r>
        <w:rPr/>
        <w:t xml:space="preserve">Les différents dossiers devront dorénavant préciser l’ensemble des points suivants :a) références de bandes adhésives équipées de filtres à positionner en rive basse des plaques,b) coupe renseignée avec profilé de protection complémentaire en U à mettre en œuvre en rive basse des plaques (avec disposition d’évacuation des eaux  – chambre – et drainage),c) dispositions/préconisations pour éviter toute erreur lors de la pose pour le cas de plaques ayant une protection UV sur uniquement l’une des faces.</w:t>
      </w:r>
    </w:p>
    <w:p>
      <w:pPr>
        <w:ind w:left="720" w:right="0"/>
      </w:pPr>
      <w:r>
        <w:rPr>
          <w:rStyle w:val="font_h2"/>
        </w:rPr>
        <w:t xml:space="preserve">9.5. Compte-rendu du 10 juin 2010</w:t>
      </w:r>
    </w:p>
    <w:p>
      <w:pPr/>
      <w:r>
        <w:rPr/>
        <w:t xml:space="preserve">Validé par le Groupe Spécialisé le 13/06/2019</w:t>
      </w:r>
    </w:p>
    <w:p>
      <w:pPr/>
      <w:r>
        <w:rPr>
          <w:b/>
          <w:bCs/>
        </w:rPr>
        <w:t xml:space="preserve">Description</w:t>
      </w:r>
    </w:p>
    <w:p>
      <w:pPr/>
      <w:r>
        <w:rPr/>
        <w:t xml:space="preserve">La désignation d’une structure géométrique de vitrage organique multiparoi devra reprendre dans son libellé la valeur nominale de la masse surfacique (en g/m²) retenue par le demandeur.</w:t>
      </w:r>
    </w:p>
    <w:p>
      <w:pPr>
        <w:ind w:left="720" w:right="0"/>
      </w:pPr>
      <w:r>
        <w:rPr>
          <w:rStyle w:val="font_h2"/>
        </w:rPr>
        <w:t xml:space="preserve">9.6. Compte-rendu du 22 mars 2012</w:t>
      </w:r>
    </w:p>
    <w:p>
      <w:pPr/>
      <w:r>
        <w:rPr/>
        <w:t xml:space="preserve">Validé par le Groupe Spécialisé le 13/06/2019</w:t>
      </w:r>
    </w:p>
    <w:p>
      <w:pPr/>
      <w:r>
        <w:rPr>
          <w:b/>
          <w:bCs/>
        </w:rPr>
        <w:t xml:space="preserve">Description</w:t>
      </w:r>
    </w:p>
    <w:p>
      <w:pPr/>
      <w:r>
        <w:rPr/>
        <w:t xml:space="preserve">Approche commune Groupe Spécialisé No.2 et Groupe Spécialisé No.6 :a) l’évaluation des systèmes matières polycarbonate est également réalisée au GS2 avec une approche équivalente à celle du GS 6 ;b) un marquage du code matières utilisées est désormais exigé sur les panneaux polycarbonate de bardage.</w:t>
      </w:r>
    </w:p>
    <w:p>
      <w:pPr>
        <w:ind w:left="720" w:right="0"/>
      </w:pPr>
      <w:r>
        <w:rPr>
          <w:rStyle w:val="font_h2"/>
        </w:rPr>
        <w:t xml:space="preserve">9.7. Compte-rendu du 12 juin 2014</w:t>
      </w:r>
    </w:p>
    <w:p>
      <w:pPr/>
      <w:r>
        <w:rPr/>
        <w:t xml:space="preserve">Validé par le Groupe Spécialisé le 13/06/2019</w:t>
      </w:r>
    </w:p>
    <w:p>
      <w:pPr/>
      <w:r>
        <w:rPr>
          <w:b/>
          <w:bCs/>
        </w:rPr>
        <w:t xml:space="preserve">Description</w:t>
      </w:r>
    </w:p>
    <w:p>
      <w:pPr/>
      <w:r>
        <w:rPr/>
        <w:t xml:space="preserve">Les références des rapports d’essais données dans les Avis Techniques ou Documents Techniques d’Application devront dorénavant comporter l’année d’édition.</w:t>
      </w:r>
    </w:p>
    <w:p>
      <w:pPr>
        <w:ind w:left="720" w:right="0"/>
      </w:pPr>
      <w:r>
        <w:rPr>
          <w:rStyle w:val="font_h2"/>
        </w:rPr>
        <w:t xml:space="preserve">9.8. Compte-rendu du 3 décembre 2015</w:t>
      </w:r>
    </w:p>
    <w:p>
      <w:pPr/>
      <w:r>
        <w:rPr/>
        <w:t xml:space="preserve">Validé par le Groupe Spécialisé le 13/06/2019</w:t>
      </w:r>
    </w:p>
    <w:p>
      <w:pPr/>
      <w:r>
        <w:rPr>
          <w:b/>
          <w:bCs/>
        </w:rPr>
        <w:t xml:space="preserve">Description</w:t>
      </w:r>
    </w:p>
    <w:p>
      <w:pPr/>
      <w:r>
        <w:rPr/>
        <w:t xml:space="preserve">a) En référence aux « Modalités des essais de charges statiques uniformément réparties sur les vitrages organiques multiparois et critères de dimensionnement associés » publiées dans le e-Cahier du CSTB n°3565, le Groupe Spécialisé souhaite ajouter le contrôle de l’épaisseur de la nervure principale de la structure du vitrage (paroi normale au plan médian du vitrage), à réception du lot de vitrages. Ces valeurs doivent correspondre au minimum des épaisseurs visées pour ces parois, pour permettre aux tableaux de charge d’être représentatifs.Moyennant cette addition, le nouveau e-Cahier pourra être enregistré et publié.b) Dans le cadre d’un DTA de système de vitrage organique multiparois, les panneaux peuvent comporter sur chaque face une protection UV. Dans ces situations, le marquage « 2UVSIDES » sera effectué sur le vitrage organique polycarbonate.</w:t>
      </w:r>
    </w:p>
    <w:p>
      <w:pPr>
        <w:ind w:left="720" w:right="0"/>
      </w:pPr>
      <w:r>
        <w:rPr>
          <w:rStyle w:val="font_h2"/>
        </w:rPr>
        <w:t xml:space="preserve">9.9. Compte-rendu du 13 juin 2019</w:t>
      </w:r>
    </w:p>
    <w:p>
      <w:pPr/>
      <w:r>
        <w:rPr/>
        <w:t xml:space="preserve">Validé par le Groupe Spécialisé le 03/10/2019</w:t>
      </w:r>
    </w:p>
    <w:p>
      <w:pPr/>
      <w:r>
        <w:rPr>
          <w:b/>
          <w:bCs/>
        </w:rPr>
        <w:t xml:space="preserve">Description</w:t>
      </w:r>
    </w:p>
    <w:p>
      <w:pPr/>
      <w:r>
        <w:rPr/>
        <w:t xml:space="preserve">1) dans le cas où le système de vitrage organique multiparoi (en polycarbonate) visé dans le DTA ne reçoit la couche de protection au rayonnement ultra-violet que sur l’une des faces du vitrage, le film de protection temporaire apposé sur cette face devra comporter un marquage complémentaire qui désigne de façon inconstestable le côté à mettre à l’extérieur : par exemple, « côté UV » ou « UV side » ou un autre visuel à l’aide de logo (par exempe, type soleil), qui devra être reproduit systématiquement :</w:t>
      </w:r>
    </w:p>
    <w:p>
      <w:pPr>
        <w:pPr/>
        <w:numPr>
          <w:ilvl w:val="0"/>
          <w:numId w:val="10"/>
        </w:numPr>
      </w:pPr>
      <w:r>
        <w:rPr/>
        <w:t xml:space="preserve">dans le sens de la longueur : tous les 1m au maximum ;</w:t>
      </w:r>
    </w:p>
    <w:p>
      <w:pPr>
        <w:pPr/>
        <w:numPr>
          <w:ilvl w:val="0"/>
          <w:numId w:val="10"/>
        </w:numPr>
      </w:pPr>
      <w:r>
        <w:rPr/>
        <w:t xml:space="preserve">et dans le sens de la largeur : tous les 50 cm au maximum.Il y aura lieu de bien indiquer que ce film doit être retiré qu’en fin de chantier afin de permettre la vérification du sens de pose.</w:t>
      </w:r>
    </w:p>
    <w:p>
      <w:pPr/>
      <w:r>
        <w:rPr/>
        <w:t xml:space="preserve">2) dans le cas où le système de vitrage organique multiparoi (en polycarbonate) visé dans le DTA reçoit la couche de protection au rayonnement ultra-violet sur ses deux faces extérieures, l’identification de la face protégée ne devient plus nécessaire.</w:t>
      </w:r>
    </w:p>
    <w:p>
      <w:pPr/>
      <w:r>
        <w:rPr/>
        <w:t xml:space="preserve">Cette Jurisprudence s’appliquera dès le 01/01/2020 et elle ne se substitue pas à l’exigence de marquage initiale existante (celle du marquage du vitrage même, longitudinalement et à proximité d’un des 2 bords latéraux) pour pallier au risque de perte du sens de pose de ces systèmes suite aux découpes potentielles de ces plaques polycarbonate.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175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B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pecialise/06/"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2026-02-01T09:39:44+01:00</dcterms:created>
  <dcterms:modified xsi:type="dcterms:W3CDTF">2026-02-01T09:39:44+01:00</dcterms:modified>
</cp:coreProperties>
</file>

<file path=docProps/custom.xml><?xml version="1.0" encoding="utf-8"?>
<Properties xmlns="http://schemas.openxmlformats.org/officeDocument/2006/custom-properties" xmlns:vt="http://schemas.openxmlformats.org/officeDocument/2006/docPropsVTypes"/>
</file>