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06 - Édité le 04/05/2026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06 « Composants de baies et vitrages »</w:t>
      </w:r>
    </w:p>
    <w:p>
      <w:pPr/>
      <w:r>
        <w:rPr>
          <w:rStyle w:val="font_default"/>
        </w:rPr>
        <w:t xml:space="preserve">Famille de produits ou procédés : </w:t>
      </w:r>
      <w:r>
        <w:rPr>
          <w:rStyle w:val="font_h3"/>
        </w:rPr>
        <w:t xml:space="preserve">Vitrage organique multiparoi</w:t>
      </w:r>
    </w:p>
    <w:p>
      <w:pPr/>
      <w:r>
        <w:rPr>
          <w:rStyle w:val="font_h1"/>
        </w:rPr>
        <w:t xml:space="preserve">1. Principe</w:t>
      </w:r>
    </w:p>
    <w:p>
      <w:pPr/>
      <w:r>
        <w:rPr/>
        <w:t xml:space="preserve">Validé par le Groupe Spécialisé le 14/02/2020</w:t>
      </w:r>
    </w:p>
    <w:p>
      <w:pPr/>
      <w:r>
        <w:rPr>
          <w:b/>
          <w:bCs/>
        </w:rPr>
        <w:t xml:space="preserve">Description</w:t>
      </w:r>
    </w:p>
    <w:p>
      <w:pPr/>
      <w:r>
        <w:rPr/>
        <w:t xml:space="preserve">Préciser pour le nom commercial des vitrages organiques objets de la demande et aussi:</w:t>
      </w:r>
    </w:p>
    <w:p>
      <w:pPr>
        <w:pPr/>
        <w:numPr>
          <w:ilvl w:val="0"/>
          <w:numId w:val="9"/>
        </w:numPr>
      </w:pPr>
      <w:r>
        <w:rPr/>
        <w:t xml:space="preserve">Définir les différentes compositions de matières polycarbonate des vitrages (définir le matériau et indiquer toutes les références des matériaux polycarbonate et leur répartition);</w:t>
      </w:r>
    </w:p>
    <w:p>
      <w:pPr>
        <w:pPr/>
        <w:numPr>
          <w:ilvl w:val="0"/>
          <w:numId w:val="9"/>
        </w:numPr>
      </w:pPr>
      <w:r>
        <w:rPr/>
        <w:t xml:space="preserve">Décrire les différentes structures multiparoi des vitrages (référence, épaisseur totale (en mm), masse surfacique nominale (en g/m²));</w:t>
      </w:r>
    </w:p>
    <w:p>
      <w:pPr>
        <w:pPr/>
        <w:numPr>
          <w:ilvl w:val="0"/>
          <w:numId w:val="9"/>
        </w:numPr>
      </w:pPr>
      <w:r>
        <w:rPr/>
        <w:t xml:space="preserve">Décrire tous les coloris (par exemple: incolore, ton opal, ...).</w:t>
      </w:r>
    </w:p>
    <w:p>
      <w:pPr/>
      <w:r>
        <w:rPr>
          <w:rStyle w:val="font_h1"/>
        </w:rPr>
        <w:t xml:space="preserve">2. Domaine d'emploi</w:t>
      </w:r>
    </w:p>
    <w:p>
      <w:pPr/>
      <w:r>
        <w:rPr/>
        <w:t xml:space="preserve">Validé par le Groupe Spécialisé le 14/02/2020</w:t>
      </w:r>
    </w:p>
    <w:p>
      <w:pPr/>
      <w:r>
        <w:rPr>
          <w:b/>
          <w:bCs/>
        </w:rPr>
        <w:t xml:space="preserve">Description</w:t>
      </w:r>
    </w:p>
    <w:p>
      <w:pPr/>
      <w:r>
        <w:rPr/>
        <w:t xml:space="preserve">Préciser le domaine d’emploi des produits objet de la demande.L’indication précise des ouvrages ou parties d’ouvrages à la réalisation desquels le produit ou procédé est destiné.L’affectation et les localisations géographiques envisagées pour ces ouvrages.</w:t>
      </w:r>
    </w:p>
    <w:p>
      <w:pPr/>
      <w:r>
        <w:rPr>
          <w:rStyle w:val="font_h1"/>
        </w:rPr>
        <w:t xml:space="preserve">3. Elements de composition</w:t>
      </w:r>
    </w:p>
    <w:p>
      <w:pPr>
        <w:ind w:left="720" w:right="0"/>
      </w:pPr>
      <w:r>
        <w:rPr>
          <w:rStyle w:val="font_h2"/>
        </w:rPr>
        <w:t xml:space="preserve">3.1. Système alvéolaire</w:t>
      </w:r>
    </w:p>
    <w:p>
      <w:pPr/>
      <w:r>
        <w:rPr/>
        <w:t xml:space="preserve">Validé par le Groupe Spécialisé le 14/02/2020</w:t>
      </w:r>
    </w:p>
    <w:p>
      <w:pPr/>
      <w:r>
        <w:rPr>
          <w:b/>
          <w:bCs/>
        </w:rPr>
        <w:t xml:space="preserve">Description</w:t>
      </w:r>
    </w:p>
    <w:p>
      <w:pPr/>
      <w:r>
        <w:rPr/>
        <w:t xml:space="preserve">Dessin technique coté (avec les tolérances sur chaque cote) de chaque structure de vitrage (en fichier numérique avec extension .dwg)  à fournir.Masse surfacique nominale à renseigner, par structure.Les largeurs et les longueurs maximales produites à renseigner, par structure.Les tolérances sur les largeurs et sur les longueurs à renseigner, par structure (si différentes de celles spécifiées dans la norme NF EN 16153+A1: 18 avril 2015).</w:t>
      </w:r>
    </w:p>
    <w:p>
      <w:pPr>
        <w:ind w:left="720" w:right="0"/>
      </w:pPr>
      <w:r>
        <w:rPr>
          <w:rStyle w:val="font_h2"/>
        </w:rPr>
        <w:t xml:space="preserve">3.2. Matériaux organiques</w:t>
      </w:r>
    </w:p>
    <w:p>
      <w:pPr/>
      <w:r>
        <w:rPr/>
        <w:t xml:space="preserve">Validé par le Groupe Spécialisé le 14/02/2020</w:t>
      </w:r>
    </w:p>
    <w:p>
      <w:pPr/>
      <w:r>
        <w:rPr>
          <w:b/>
          <w:bCs/>
        </w:rPr>
        <w:t xml:space="preserve">Description</w:t>
      </w:r>
    </w:p>
    <w:p>
      <w:pPr/>
      <w:r>
        <w:rPr/>
        <w:t xml:space="preserve">Nature et liste du (ou des) système(s) de matières polycarbonate entrant dans la fabrication des vitrages (fiche technique par « matière polycarbonate » à fournir, par fournisseur) et répartition.Nature et liste des coloris, par structure multiparoi.Epaisseur minimale (en µm) de la couche de protection au rayonnement ultra-violet, à renseigner (par ton de couleur si différent et par type de structure multiparoi si différent).Code du système de matières polycarbonate à préciser (1 code par système: une lettre et un chiffre, si possible)</w:t>
      </w:r>
    </w:p>
    <w:p>
      <w:pPr/>
      <w:r>
        <w:rPr>
          <w:rStyle w:val="font_h1"/>
        </w:rPr>
        <w:t xml:space="preserve">4. Fabrication</w:t>
      </w:r>
    </w:p>
    <w:p>
      <w:pPr>
        <w:ind w:left="720" w:right="0"/>
      </w:pPr>
      <w:r>
        <w:rPr>
          <w:rStyle w:val="font_h2"/>
        </w:rPr>
        <w:t xml:space="preserve">4.1. Processus</w:t>
      </w:r>
    </w:p>
    <w:p>
      <w:pPr/>
      <w:r>
        <w:rPr/>
        <w:t xml:space="preserve">Validé par le Groupe Spécialisé le 14/02/2020</w:t>
      </w:r>
    </w:p>
    <w:p>
      <w:pPr/>
      <w:r>
        <w:rPr>
          <w:b/>
          <w:bCs/>
        </w:rPr>
        <w:t xml:space="preserve">Description</w:t>
      </w:r>
    </w:p>
    <w:p>
      <w:pPr/>
      <w:r>
        <w:rPr/>
        <w:t xml:space="preserve">Indiquer le lieu de fabrication (nom de la société, adresse, n° de TVA)Donner un descriptif du processus de fabrication.Préciser les moyens et ressources mis en place pour la maîtrise du processus de fabrication.Description complète du processus de fabrication avec l’indication des machines et outillages utilisés et des contrôles effectués, accompagnée des spécifications et tolérances de fabrication.Indiquer la teneur maximale possible de matières polycarbonate recyclé (qui sont produits sur site) pour la fabrication des vitrages organiques multiparoi.Définir le cas échéant, les modalités de protection des parois extérieures de la plaque multiparois lors du transport.</w:t>
      </w:r>
    </w:p>
    <w:p>
      <w:pPr>
        <w:ind w:left="720" w:right="0"/>
      </w:pPr>
      <w:r>
        <w:rPr>
          <w:rStyle w:val="font_h2"/>
        </w:rPr>
        <w:t xml:space="preserve">4.2. Marquage</w:t>
      </w:r>
    </w:p>
    <w:p>
      <w:pPr/>
      <w:r>
        <w:rPr/>
        <w:t xml:space="preserve">Validé par le Groupe Spécialisé le 14/02/2020</w:t>
      </w:r>
    </w:p>
    <w:p>
      <w:pPr/>
      <w:r>
        <w:rPr>
          <w:b/>
          <w:bCs/>
        </w:rPr>
        <w:t xml:space="preserve">Description</w:t>
      </w:r>
    </w:p>
    <w:p>
      <w:pPr/>
      <w:r>
        <w:rPr/>
        <w:t xml:space="preserve">Définir les modalités de marquage et de traçabilité des plaques polycarbonate.</w:t>
      </w:r>
    </w:p>
    <w:p>
      <w:pPr>
        <w:ind w:left="720" w:right="0"/>
      </w:pPr>
      <w:r>
        <w:rPr>
          <w:rStyle w:val="font_h2"/>
        </w:rPr>
        <w:t xml:space="preserve">4.3. Contrôles de fabrication</w:t>
      </w:r>
    </w:p>
    <w:p>
      <w:pPr>
        <w:ind w:left="1440" w:right="0"/>
      </w:pPr>
      <w:r>
        <w:rPr>
          <w:rStyle w:val="font_h3"/>
        </w:rPr>
        <w:t xml:space="preserve">4.3.1. Sur matières premières</w:t>
      </w:r>
    </w:p>
    <w:p>
      <w:pPr/>
      <w:r>
        <w:rPr/>
        <w:t xml:space="preserve">Validé par le Groupe Spécialisé le 14/02/2020</w:t>
      </w:r>
    </w:p>
    <w:p>
      <w:pPr/>
      <w:r>
        <w:rPr>
          <w:b/>
          <w:bCs/>
        </w:rPr>
        <w:t xml:space="preserve">Description</w:t>
      </w:r>
    </w:p>
    <w:p>
      <w:pPr/>
      <w:r>
        <w:rPr/>
        <w:t xml:space="preserve">Définir les contrôles à réception des matériaux et les moyens et ressources mis en place pour la maîtrise de ces processus.</w:t>
      </w:r>
    </w:p>
    <w:p>
      <w:pPr>
        <w:ind w:left="1440" w:right="0"/>
      </w:pPr>
      <w:r>
        <w:rPr>
          <w:rStyle w:val="font_h3"/>
        </w:rPr>
        <w:t xml:space="preserve">4.3.2. En cours de fabrication et sur produits finis</w:t>
      </w:r>
    </w:p>
    <w:p>
      <w:pPr/>
      <w:r>
        <w:rPr/>
        <w:t xml:space="preserve">Validé par le Groupe Spécialisé le 14/02/2020</w:t>
      </w:r>
    </w:p>
    <w:p>
      <w:pPr/>
      <w:r>
        <w:rPr>
          <w:b/>
          <w:bCs/>
        </w:rPr>
        <w:t xml:space="preserve">Description</w:t>
      </w:r>
    </w:p>
    <w:p>
      <w:pPr/>
      <w:r>
        <w:rPr/>
        <w:t xml:space="preserve">Définir les contrôles en fabrication, les essais sur plaques polycarbonate mis en place pour s’assurer de la maîtrise des processus de fabrication et de la qualité des produits.</w:t>
      </w:r>
    </w:p>
    <w:p>
      <w:pPr/>
      <w:r>
        <w:rPr>
          <w:rStyle w:val="font_h1"/>
        </w:rPr>
        <w:t xml:space="preserve">5. Conception</w:t>
      </w:r>
    </w:p>
    <w:p>
      <w:pPr>
        <w:ind w:left="720" w:right="0"/>
      </w:pPr>
      <w:r>
        <w:rPr>
          <w:rStyle w:val="font_h2"/>
        </w:rPr>
        <w:t xml:space="preserve">5.1. Détermination de l'épaisseur</w:t>
      </w:r>
    </w:p>
    <w:p>
      <w:pPr/>
      <w:r>
        <w:rPr/>
        <w:t xml:space="preserve">Validé par le Groupe Spécialisé le 14/02/2020</w:t>
      </w:r>
    </w:p>
    <w:p>
      <w:pPr/>
      <w:r>
        <w:rPr>
          <w:b/>
          <w:bCs/>
        </w:rPr>
        <w:t xml:space="preserve">Description</w:t>
      </w:r>
    </w:p>
    <w:p>
      <w:pPr/>
      <w:r>
        <w:rPr/>
        <w:t xml:space="preserve">Description des modes de dimensionnement du produit ou procédé.Définir les tableaux de charges maximales admissibles de mise en œuvre pour chacune des structures de vitrage à une masse surfacique nominale donnée (à réaliser selon les modalités du e-Cahiers du CSTB, Cahier 3565 disponible au lien internet suivant: </w:t>
      </w:r>
      <w:hyperlink r:id="rId7" w:history="1">
        <w:r>
          <w:rPr/>
          <w:t xml:space="preserve">http://www.ccfat.fr/groupe-specialise/06/</w:t>
        </w:r>
      </w:hyperlink>
      <w:r>
        <w:rPr/>
        <w:t xml:space="preserve"> .</w:t>
      </w:r>
    </w:p>
    <w:p>
      <w:pPr>
        <w:ind w:left="720" w:right="0"/>
      </w:pPr>
      <w:r>
        <w:rPr>
          <w:rStyle w:val="font_h2"/>
        </w:rPr>
        <w:t xml:space="preserve">5.2. Prise en feuillure sur 4 côtés</w:t>
      </w:r>
    </w:p>
    <w:p>
      <w:pPr/>
      <w:r>
        <w:rPr/>
        <w:t xml:space="preserve">Validé par le Groupe Spécialisé le 14/02/2020</w:t>
      </w:r>
    </w:p>
    <w:p>
      <w:pPr/>
      <w:r>
        <w:rPr>
          <w:b/>
          <w:bCs/>
        </w:rPr>
        <w:t xml:space="preserve">Description</w:t>
      </w:r>
    </w:p>
    <w:p>
      <w:pPr/>
      <w:r>
        <w:rPr/>
        <w:t xml:space="preserve">Définir les tableaux de charges maximales admissibles avec une mise en œuvre sur 4 côtés pour chacune des structures de vitrage à une masse surfacique nominale donnée (à réaliser selon les modalités du e-Cahiers du CSTB, Cahier 3565 disponible au lien internet suivant: </w:t>
      </w:r>
      <w:hyperlink r:id="rId7" w:history="1">
        <w:r>
          <w:rPr/>
          <w:t xml:space="preserve">http://www.ccfat.fr/groupe-specialise/06/</w:t>
        </w:r>
      </w:hyperlink>
      <w:r>
        <w:rPr/>
        <w:t xml:space="preserve"> ).</w:t>
      </w:r>
    </w:p>
    <w:p>
      <w:pPr>
        <w:ind w:left="720" w:right="0"/>
      </w:pPr>
      <w:r>
        <w:rPr>
          <w:rStyle w:val="font_h2"/>
        </w:rPr>
        <w:t xml:space="preserve">5.3. Prise en feuillure sur 3 côtés</w:t>
      </w:r>
    </w:p>
    <w:p>
      <w:pPr/>
      <w:r>
        <w:rPr/>
        <w:t xml:space="preserve">Validé par le Groupe Spécialisé le 14/02/2020</w:t>
      </w:r>
    </w:p>
    <w:p>
      <w:pPr/>
      <w:r>
        <w:rPr>
          <w:b/>
          <w:bCs/>
        </w:rPr>
        <w:t xml:space="preserve">Description</w:t>
      </w:r>
    </w:p>
    <w:p>
      <w:pPr/>
      <w:r>
        <w:rPr/>
        <w:t xml:space="preserve">Définir les tableaux de charges maximales admissibles avec une mise en œuvre sur 3 côtés pour chacune des structures de vitrage à une masse surfacique nominale donnée (à réaliser selon les modalités du e-Cahiers du CSTB, Cahier 3565 disponible au lien internet suivant: </w:t>
      </w:r>
      <w:hyperlink r:id="rId7" w:history="1">
        <w:r>
          <w:rPr/>
          <w:t xml:space="preserve">http://www.ccfat.fr/groupe-specialise/06/</w:t>
        </w:r>
      </w:hyperlink>
      <w:r>
        <w:rPr/>
        <w:t xml:space="preserve">.</w:t>
      </w:r>
    </w:p>
    <w:p>
      <w:pPr>
        <w:ind w:left="720" w:right="0"/>
      </w:pPr>
      <w:r>
        <w:rPr>
          <w:rStyle w:val="font_h2"/>
        </w:rPr>
        <w:t xml:space="preserve">5.4. Détermination de la dimension des feuillures</w:t>
      </w:r>
    </w:p>
    <w:p>
      <w:pPr>
        <w:ind w:left="1440" w:right="0"/>
      </w:pPr>
      <w:r>
        <w:rPr>
          <w:rStyle w:val="font_h3"/>
        </w:rPr>
        <w:t xml:space="preserve">5.4.1. Feuillure haute</w:t>
      </w:r>
    </w:p>
    <w:p>
      <w:pPr/>
      <w:r>
        <w:rPr/>
        <w:t xml:space="preserve">Validé par le Groupe Spécialisé le 14/02/2020</w:t>
      </w:r>
    </w:p>
    <w:p>
      <w:pPr/>
      <w:r>
        <w:rPr>
          <w:b/>
          <w:bCs/>
        </w:rPr>
        <w:t xml:space="preserve">Description</w:t>
      </w:r>
    </w:p>
    <w:p>
      <w:pPr/>
      <w:r>
        <w:rPr/>
        <w:t xml:space="preserve">Les conditions générales d’emploi et de mise en œuvre des vitrages organiques multiparois sont décrites dans le e-Cahiers du CSTB, Cahier 3641 , disponible au lien internet suivant</w:t>
      </w:r>
      <w:hyperlink r:id="rId7" w:history="1">
        <w:r>
          <w:rPr/>
          <w:t xml:space="preserve">http://www.ccfat.fr/groupe-specialise/06/</w:t>
        </w:r>
      </w:hyperlink>
      <w:r>
        <w:rPr/>
        <w:t xml:space="preserve">En général, la valeur de la taille de la feuillure prise sur chaque bord est la même et correspond à une valeur par défaut égale à 20 mm au minimum.Dans le cas d’une mise en oeuvre particulière du système de vitrage orgnanique multiparoi, il est nécessaire d’informer sur la valeur de la hauteur de la feuillure supérieure.</w:t>
      </w:r>
    </w:p>
    <w:p>
      <w:pPr>
        <w:ind w:left="1440" w:right="0"/>
      </w:pPr>
      <w:r>
        <w:rPr>
          <w:rStyle w:val="font_h3"/>
        </w:rPr>
        <w:t xml:space="preserve">5.4.2. Feuillure basse</w:t>
      </w:r>
    </w:p>
    <w:p>
      <w:pPr/>
      <w:r>
        <w:rPr/>
        <w:t xml:space="preserve">Validé par le Groupe Spécialisé le 14/02/2020</w:t>
      </w:r>
    </w:p>
    <w:p>
      <w:pPr/>
      <w:r>
        <w:rPr>
          <w:b/>
          <w:bCs/>
        </w:rPr>
        <w:t xml:space="preserve">Description</w:t>
      </w:r>
    </w:p>
    <w:p>
      <w:pPr/>
      <w:r>
        <w:rPr/>
        <w:t xml:space="preserve">Les conditions générales d’emploi et de mise en œuvre des vitrages organiques multiparois sont décrites dans le e-Cahiers du CSTB, Cahier 3641 , disponible au lien internet suivant</w:t>
      </w:r>
      <w:hyperlink r:id="rId7" w:history="1">
        <w:r>
          <w:rPr/>
          <w:t xml:space="preserve">http://www.ccfat.fr/groupe-specialise/06/</w:t>
        </w:r>
      </w:hyperlink>
      <w:r>
        <w:rPr/>
        <w:t xml:space="preserve">En général, la valeur de la taille de la feuillure prise sur chaque bord est la même et correspond à une valeur par défaut égale à 20 mm au minimum.Dans le cas d’une mise en oeuvre particulière du système de vitrage orgnanique multiparoi, il est nécessaire d’informer sur la valeur de la hauteur de la feuillure basse.</w:t>
      </w:r>
    </w:p>
    <w:p>
      <w:pPr>
        <w:ind w:left="1440" w:right="0"/>
      </w:pPr>
      <w:r>
        <w:rPr>
          <w:rStyle w:val="font_h3"/>
        </w:rPr>
        <w:t xml:space="preserve">5.4.3. Feuillures latérales</w:t>
      </w:r>
    </w:p>
    <w:p>
      <w:pPr/>
      <w:r>
        <w:rPr/>
        <w:t xml:space="preserve">Validé par le Groupe Spécialisé le 14/02/2020</w:t>
      </w:r>
    </w:p>
    <w:p>
      <w:pPr/>
      <w:r>
        <w:rPr>
          <w:b/>
          <w:bCs/>
        </w:rPr>
        <w:t xml:space="preserve">Description</w:t>
      </w:r>
    </w:p>
    <w:p>
      <w:pPr/>
      <w:r>
        <w:rPr/>
        <w:t xml:space="preserve">Les conditions générales d’emploi et de mise en œuvre des vitrages organiques multiparois sont décrites dans le e-Cahiers du CSTB, Cahier 3641 , disponible au lien internet suivant</w:t>
      </w:r>
      <w:hyperlink r:id="rId7" w:history="1">
        <w:r>
          <w:rPr/>
          <w:t xml:space="preserve">http://www.ccfat.fr/groupe-specialise/06/</w:t>
        </w:r>
      </w:hyperlink>
      <w:r>
        <w:rPr/>
        <w:t xml:space="preserve">En général, la valeur de la taille de la feuillure prise sur chaque bord est la même et correspond à une valeur par défaut égale à 20 mm au minimum.Dans le cas d’une mise en oeuvre particulière du système de vitrage orgnanique multiparoi, il est nécessaire d’informer sur la valeur de la hauteur de la feuillure laterale.</w:t>
      </w:r>
    </w:p>
    <w:p>
      <w:pPr/>
      <w:r>
        <w:rPr>
          <w:rStyle w:val="font_h1"/>
        </w:rPr>
        <w:t xml:space="preserve">6. Mise en oeuvre</w:t>
      </w:r>
    </w:p>
    <w:p>
      <w:pPr>
        <w:ind w:left="720" w:right="0"/>
      </w:pPr>
      <w:r>
        <w:rPr>
          <w:rStyle w:val="font_h2"/>
        </w:rPr>
        <w:t xml:space="preserve">6.1. Préparation des vitrages</w:t>
      </w:r>
    </w:p>
    <w:p>
      <w:pPr>
        <w:ind w:left="1440" w:right="0"/>
      </w:pPr>
      <w:r>
        <w:rPr>
          <w:rStyle w:val="font_h3"/>
        </w:rPr>
        <w:t xml:space="preserve">6.1.1. Découpage</w:t>
      </w:r>
    </w:p>
    <w:p>
      <w:pPr/>
      <w:r>
        <w:rPr/>
        <w:t xml:space="preserve">Validé par le Groupe Spécialisé le 14/02/2020</w:t>
      </w:r>
    </w:p>
    <w:p>
      <w:pPr/>
      <w:r>
        <w:rPr>
          <w:b/>
          <w:bCs/>
        </w:rPr>
        <w:t xml:space="preserve">Description</w:t>
      </w:r>
    </w:p>
    <w:p>
      <w:pPr/>
      <w:r>
        <w:rPr/>
        <w:t xml:space="preserve">Les conditions générales d’emploi et de mise en œuvre des vitrages organiques multiparois sont décrites dans le e-Cahiers du CSTB, Cahier 3641 , disponible au lien internet suivant:</w:t>
      </w:r>
      <w:hyperlink r:id="rId7" w:history="1">
        <w:r>
          <w:rPr/>
          <w:t xml:space="preserve">http://www.ccfat.fr/groupe-specialise/06/</w:t>
        </w:r>
      </w:hyperlink>
    </w:p>
    <w:p>
      <w:pPr>
        <w:ind w:left="1440" w:right="0"/>
      </w:pPr>
      <w:r>
        <w:rPr>
          <w:rStyle w:val="font_h3"/>
        </w:rPr>
        <w:t xml:space="preserve">6.1.2. Obturation</w:t>
      </w:r>
    </w:p>
    <w:p>
      <w:pPr/>
      <w:r>
        <w:rPr/>
        <w:t xml:space="preserve">Validé par le Groupe Spécialisé le 14/02/2020</w:t>
      </w:r>
    </w:p>
    <w:p>
      <w:pPr/>
      <w:r>
        <w:rPr>
          <w:b/>
          <w:bCs/>
        </w:rPr>
        <w:t xml:space="preserve">Description</w:t>
      </w:r>
    </w:p>
    <w:p>
      <w:pPr/>
      <w:r>
        <w:rPr/>
        <w:t xml:space="preserve">Les conditions générales d’emploi et de mise en œuvre des vitrages organiques multiparois sont décrites dans le e-Cahiers du CSTB, Cahier 3641 , disponible au lien internet suivant:</w:t>
      </w:r>
      <w:hyperlink r:id="rId7" w:history="1">
        <w:r>
          <w:rPr/>
          <w:t xml:space="preserve">http://www.ccfat.fr/groupe-specialise/06/</w:t>
        </w:r>
      </w:hyperlink>
      <w:r>
        <w:rPr/>
        <w:t xml:space="preserve">Indiquer les références des bandes adhésives des bords coupés ouverts, haut et bas.</w:t>
      </w:r>
    </w:p>
    <w:p>
      <w:pPr>
        <w:ind w:left="1440" w:right="0"/>
      </w:pPr>
      <w:r>
        <w:rPr>
          <w:rStyle w:val="font_h3"/>
        </w:rPr>
        <w:t xml:space="preserve">6.1.3. Dispositions particulières</w:t>
      </w:r>
    </w:p>
    <w:p>
      <w:pPr/>
      <w:r>
        <w:rPr/>
        <w:t xml:space="preserve">Validé par le Groupe Spécialisé le 14/02/2020</w:t>
      </w:r>
    </w:p>
    <w:p>
      <w:pPr/>
      <w:r>
        <w:rPr>
          <w:b/>
          <w:bCs/>
        </w:rPr>
        <w:t xml:space="preserve">Description</w:t>
      </w:r>
    </w:p>
    <w:p>
      <w:pPr/>
      <w:r>
        <w:rPr/>
        <w:t xml:space="preserve">A renseigner s'il y a lieu.</w:t>
      </w:r>
    </w:p>
    <w:p>
      <w:pPr>
        <w:ind w:left="720" w:right="0"/>
      </w:pPr>
      <w:r>
        <w:rPr>
          <w:rStyle w:val="font_h2"/>
        </w:rPr>
        <w:t xml:space="preserve">6.2. Montage</w:t>
      </w:r>
    </w:p>
    <w:p>
      <w:pPr/>
      <w:r>
        <w:rPr/>
        <w:t xml:space="preserve">Validé par le Groupe Spécialisé le 14/02/2020</w:t>
      </w:r>
    </w:p>
    <w:p>
      <w:pPr/>
      <w:r>
        <w:rPr>
          <w:b/>
          <w:bCs/>
        </w:rPr>
        <w:t xml:space="preserve">Description</w:t>
      </w:r>
    </w:p>
    <w:p>
      <w:pPr/>
      <w:r>
        <w:rPr/>
        <w:t xml:space="preserve">Les conditions générales d’emploi et de mise en œuvre des vitrages organiques multiparois sont décrites dans le e-Cahiers du CSTB, Cahier 3641 , disponible au lien internet suivant:</w:t>
      </w:r>
      <w:hyperlink r:id="rId7" w:history="1">
        <w:r>
          <w:rPr/>
          <w:t xml:space="preserve">http://www.ccfat.fr/groupe-specialise/06/</w:t>
        </w:r>
      </w:hyperlink>
      <w:r>
        <w:rPr/>
        <w:t xml:space="preserve">Indiquer le type de profilés d'étanchéité à utiliser.En cas d'un pose sur 3 côtés, indiquer le type de profilé de finition du bord libre.</w:t>
      </w:r>
    </w:p>
    <w:p>
      <w:pPr>
        <w:ind w:left="720" w:right="0"/>
      </w:pPr>
      <w:r>
        <w:rPr>
          <w:rStyle w:val="font_h2"/>
        </w:rPr>
        <w:t xml:space="preserve">6.3. Entretien - réparation -recommandations particulières</w:t>
      </w:r>
    </w:p>
    <w:p>
      <w:pPr/>
      <w:r>
        <w:rPr>
          <w:rStyle w:val="font_h1"/>
        </w:rPr>
        <w:t xml:space="preserve">7. Résultats expérimentaux</w:t>
      </w:r>
    </w:p>
    <w:p>
      <w:pPr/>
      <w:r>
        <w:rPr>
          <w:rStyle w:val="font_h1"/>
        </w:rPr>
        <w:t xml:space="preserve">8. Références de chantier</w:t>
      </w:r>
    </w:p>
    <w:p>
      <w:pPr/>
      <w:r>
        <w:rPr>
          <w:rStyle w:val="font_h1"/>
        </w:rPr>
        <w:t xml:space="preserve">9. Jurisprudences du Groupe Spécialisé n°6 &amp;quot;Vitrages&amp;quot;</w:t>
      </w:r>
    </w:p>
    <w:p>
      <w:pPr>
        <w:ind w:left="720" w:right="0"/>
      </w:pPr>
      <w:r>
        <w:rPr>
          <w:rStyle w:val="font_h2"/>
        </w:rPr>
        <w:t xml:space="preserve">9.1. Compte-rendu du 5 mars 2003: Pente minimale des ouvrages réalisés avec des plaques de polycarbonate.</w:t>
      </w:r>
    </w:p>
    <w:p>
      <w:pPr/>
      <w:r>
        <w:rPr/>
        <w:t xml:space="preserve">Validé par le Groupe Spécialisé le 13/06/2019</w:t>
      </w:r>
    </w:p>
    <w:p>
      <w:pPr/>
      <w:r>
        <w:rPr>
          <w:b/>
          <w:bCs/>
        </w:rPr>
        <w:t xml:space="preserve">Description</w:t>
      </w:r>
    </w:p>
    <w:p>
      <w:pPr/>
      <w:r>
        <w:rPr/>
        <w:t xml:space="preserve">Suite aux résultats de l’enquête réalisée in situ, il est retenu d’appliquer dorénavant les dispositions et conditions de mise en œuvre suivantes :a) pour les ouvrages ne présentant pas de traverse intermédiaire (en partie courante), la pente minimale nominale est de 5° (8,7 %).b) si les ouvrages comportent une ou plusieurs traverses intermédiaires (en partie courante), la pente minimale nominale est de 15°.c) dans le cas de pente minimale nominale de 5°, la surépaisseur du profilé mis en œuvre en rive basse, par rapport au plan extérieur des plaques doit être inférieure ou égale à 2 mm.d) la face supérieure des plaques devra être nettoyée au moins une fois par an et selon les prescriptions fournies par le fabricant (notice d’entretien).</w:t>
      </w:r>
    </w:p>
    <w:p>
      <w:pPr>
        <w:ind w:left="720" w:right="0"/>
      </w:pPr>
      <w:r>
        <w:rPr>
          <w:rStyle w:val="font_h2"/>
        </w:rPr>
        <w:t xml:space="preserve">9.2. Compte-rendu du 31 mars 2005: Système de vitrage organique multiparoi visé par un Document Technique d'Application (DTA).</w:t>
      </w:r>
    </w:p>
    <w:p>
      <w:pPr/>
      <w:r>
        <w:rPr/>
        <w:t xml:space="preserve">Validé par le Groupe Spécialisé le 13/06/2019</w:t>
      </w:r>
    </w:p>
    <w:p>
      <w:pPr/>
      <w:r>
        <w:rPr>
          <w:b/>
          <w:bCs/>
        </w:rPr>
        <w:t xml:space="preserve">Description</w:t>
      </w:r>
    </w:p>
    <w:p>
      <w:pPr/>
      <w:r>
        <w:rPr/>
        <w:t xml:space="preserve">Pour les systèmes de vitrages organiques multiparois visés par un Avis Technique, il est retenu les dispositions suivantes :a) il ne peut pas y avoir plusieurs désignations commerciales pour une géométrie de vitrage donnée, visée dans un Avis Technique.b) un type de vitrage est défini :b-1)    par une géométrie,b-2)    une teinte,b-3)    une masse surfacique nominale (avec une tolérance inférieure ne dépassant pas 3% de la masse surfacique nominale),c) pour une géométrie de vitrage associée à plusieurs masses surfaciques nominales.c-1)    soient les tableaux de charges sont établis à partir des vitrages correspondant à la masse surfacique nominale déclarée la plus faible. Les tableaux de charges sont applicables dans ce cas aux plaques avec des masses surfaciques supérieurs,c-2)    soient les tableaux de charges sont établis pour chaque masse surfacique nominale de vitrage.d) pour chaque type de vitrages incluant le cas échéant plusieurs masses surfaciques nominales, la totalité des matières utilisées doivent avoir été évaluées, sauf si la couleur enlève tout ambiguïté sur le fait que le vitrage soit visé ou pas par l’Avis Technique),e) l’ensemble des vitrages doit être marqué en incluant le logo « CCFAT » et la référence  au DTA sur la face extérieure du vitrage protégée contre le rayonnement ultra-violet.</w:t>
      </w:r>
    </w:p>
    <w:p>
      <w:pPr>
        <w:ind w:left="720" w:right="0"/>
      </w:pPr>
      <w:r>
        <w:rPr>
          <w:rStyle w:val="font_h2"/>
        </w:rPr>
        <w:t xml:space="preserve">9.3. Compte-rendu du 30 mars 2006: Cahier du CSTB n°3641, Note d’information n° 3 « Vitrage organique en PC ou en PMMA - Conditions générales d’emploi et de mise en œuvre ».</w:t>
      </w:r>
    </w:p>
    <w:p>
      <w:pPr/>
      <w:r>
        <w:rPr/>
        <w:t xml:space="preserve">Validé par le Groupe Spécialisé le 13/06/2019</w:t>
      </w:r>
    </w:p>
    <w:p>
      <w:pPr/>
      <w:r>
        <w:rPr>
          <w:b/>
          <w:bCs/>
        </w:rPr>
        <w:t xml:space="preserve">Description</w:t>
      </w:r>
    </w:p>
    <w:p>
      <w:pPr/>
      <w:r>
        <w:rPr/>
        <w:t xml:space="preserve">Examen et approbation  du Cahier du CSTB n°3641.</w:t>
      </w:r>
    </w:p>
    <w:p>
      <w:pPr>
        <w:ind w:left="720" w:right="0"/>
      </w:pPr>
      <w:r>
        <w:rPr>
          <w:rStyle w:val="font_h2"/>
        </w:rPr>
        <w:t xml:space="preserve">9.4. Compte-rendu du 6 décembre 2007</w:t>
      </w:r>
    </w:p>
    <w:p>
      <w:pPr/>
      <w:r>
        <w:rPr/>
        <w:t xml:space="preserve">Validé par le Groupe Spécialisé le 13/06/2019</w:t>
      </w:r>
    </w:p>
    <w:p>
      <w:pPr/>
      <w:r>
        <w:rPr>
          <w:b/>
          <w:bCs/>
        </w:rPr>
        <w:t xml:space="preserve">Description</w:t>
      </w:r>
    </w:p>
    <w:p>
      <w:pPr/>
      <w:r>
        <w:rPr/>
        <w:t xml:space="preserve">Les différents dossiers devront dorénavant préciser l’ensemble des points suivants :a) références de bandes adhésives équipées de filtres à positionner en rive basse des plaques,b) coupe renseignée avec profilé de protection complémentaire en U à mettre en œuvre en rive basse des plaques (avec disposition d’évacuation des eaux  – chambre – et drainage),c) dispositions/préconisations pour éviter toute erreur lors de la pose pour le cas de plaques ayant une protection UV sur uniquement l’une des faces.</w:t>
      </w:r>
    </w:p>
    <w:p>
      <w:pPr>
        <w:ind w:left="720" w:right="0"/>
      </w:pPr>
      <w:r>
        <w:rPr>
          <w:rStyle w:val="font_h2"/>
        </w:rPr>
        <w:t xml:space="preserve">9.5. Compte-rendu du 10 juin 2010</w:t>
      </w:r>
    </w:p>
    <w:p>
      <w:pPr/>
      <w:r>
        <w:rPr/>
        <w:t xml:space="preserve">Validé par le Groupe Spécialisé le 13/06/2019</w:t>
      </w:r>
    </w:p>
    <w:p>
      <w:pPr/>
      <w:r>
        <w:rPr>
          <w:b/>
          <w:bCs/>
        </w:rPr>
        <w:t xml:space="preserve">Description</w:t>
      </w:r>
    </w:p>
    <w:p>
      <w:pPr/>
      <w:r>
        <w:rPr/>
        <w:t xml:space="preserve">La désignation d’une structure géométrique de vitrage organique multiparoi devra reprendre dans son libellé la valeur nominale de la masse surfacique (en g/m²) retenue par le demandeur.</w:t>
      </w:r>
    </w:p>
    <w:p>
      <w:pPr>
        <w:ind w:left="720" w:right="0"/>
      </w:pPr>
      <w:r>
        <w:rPr>
          <w:rStyle w:val="font_h2"/>
        </w:rPr>
        <w:t xml:space="preserve">9.6. Compte-rendu du 22 mars 2012</w:t>
      </w:r>
    </w:p>
    <w:p>
      <w:pPr/>
      <w:r>
        <w:rPr/>
        <w:t xml:space="preserve">Validé par le Groupe Spécialisé le 13/06/2019</w:t>
      </w:r>
    </w:p>
    <w:p>
      <w:pPr/>
      <w:r>
        <w:rPr>
          <w:b/>
          <w:bCs/>
        </w:rPr>
        <w:t xml:space="preserve">Description</w:t>
      </w:r>
    </w:p>
    <w:p>
      <w:pPr/>
      <w:r>
        <w:rPr/>
        <w:t xml:space="preserve">Approche commune Groupe Spécialisé No.2 et Groupe Spécialisé No.6 :a) l’évaluation des systèmes matières polycarbonate est également réalisée au GS2 avec une approche équivalente à celle du GS 6 ;b) un marquage du code matières utilisées est désormais exigé sur les panneaux polycarbonate de bardage.</w:t>
      </w:r>
    </w:p>
    <w:p>
      <w:pPr>
        <w:ind w:left="720" w:right="0"/>
      </w:pPr>
      <w:r>
        <w:rPr>
          <w:rStyle w:val="font_h2"/>
        </w:rPr>
        <w:t xml:space="preserve">9.7. Compte-rendu du 12 juin 2014</w:t>
      </w:r>
    </w:p>
    <w:p>
      <w:pPr/>
      <w:r>
        <w:rPr/>
        <w:t xml:space="preserve">Validé par le Groupe Spécialisé le 13/06/2019</w:t>
      </w:r>
    </w:p>
    <w:p>
      <w:pPr/>
      <w:r>
        <w:rPr>
          <w:b/>
          <w:bCs/>
        </w:rPr>
        <w:t xml:space="preserve">Description</w:t>
      </w:r>
    </w:p>
    <w:p>
      <w:pPr/>
      <w:r>
        <w:rPr/>
        <w:t xml:space="preserve">Les références des rapports d’essais données dans les Avis Techniques ou Documents Techniques d’Application devront dorénavant comporter l’année d’édition.</w:t>
      </w:r>
    </w:p>
    <w:p>
      <w:pPr>
        <w:ind w:left="720" w:right="0"/>
      </w:pPr>
      <w:r>
        <w:rPr>
          <w:rStyle w:val="font_h2"/>
        </w:rPr>
        <w:t xml:space="preserve">9.8. Compte-rendu du 3 décembre 2015</w:t>
      </w:r>
    </w:p>
    <w:p>
      <w:pPr/>
      <w:r>
        <w:rPr/>
        <w:t xml:space="preserve">Validé par le Groupe Spécialisé le 13/06/2019</w:t>
      </w:r>
    </w:p>
    <w:p>
      <w:pPr/>
      <w:r>
        <w:rPr>
          <w:b/>
          <w:bCs/>
        </w:rPr>
        <w:t xml:space="preserve">Description</w:t>
      </w:r>
    </w:p>
    <w:p>
      <w:pPr/>
      <w:r>
        <w:rPr/>
        <w:t xml:space="preserve">a) En référence aux « Modalités des essais de charges statiques uniformément réparties sur les vitrages organiques multiparois et critères de dimensionnement associés » publiées dans le e-Cahier du CSTB n°3565, le Groupe Spécialisé souhaite ajouter le contrôle de l’épaisseur de la nervure principale de la structure du vitrage (paroi normale au plan médian du vitrage), à réception du lot de vitrages. Ces valeurs doivent correspondre au minimum des épaisseurs visées pour ces parois, pour permettre aux tableaux de charge d’être représentatifs.Moyennant cette addition, le nouveau e-Cahier pourra être enregistré et publié.b) Dans le cadre d’un DTA de système de vitrage organique multiparois, les panneaux peuvent comporter sur chaque face une protection UV. Dans ces situations, le marquage « 2UVSIDES » sera effectué sur le vitrage organique polycarbonate.</w:t>
      </w:r>
    </w:p>
    <w:p>
      <w:pPr>
        <w:ind w:left="720" w:right="0"/>
      </w:pPr>
      <w:r>
        <w:rPr>
          <w:rStyle w:val="font_h2"/>
        </w:rPr>
        <w:t xml:space="preserve">9.9. Compte-rendu du 13 juin 2019</w:t>
      </w:r>
    </w:p>
    <w:p>
      <w:pPr/>
      <w:r>
        <w:rPr/>
        <w:t xml:space="preserve">Validé par le Groupe Spécialisé le 03/10/2019</w:t>
      </w:r>
    </w:p>
    <w:p>
      <w:pPr/>
      <w:r>
        <w:rPr>
          <w:b/>
          <w:bCs/>
        </w:rPr>
        <w:t xml:space="preserve">Description</w:t>
      </w:r>
    </w:p>
    <w:p>
      <w:pPr/>
      <w:r>
        <w:rPr/>
        <w:t xml:space="preserve">1) dans le cas où le système de vitrage organique multiparoi (en polycarbonate) visé dans le DTA ne reçoit la couche de protection au rayonnement ultra-violet que sur l’une des faces du vitrage, le film de protection temporaire apposé sur cette face devra comporter un marquage complémentaire qui désigne de façon inconstestable le côté à mettre à l’extérieur : par exemple, « côté UV » ou « UV side » ou un autre visuel à l’aide de logo (par exempe, type soleil), qui devra être reproduit systématiquement :</w:t>
      </w:r>
    </w:p>
    <w:p>
      <w:pPr>
        <w:pPr/>
        <w:numPr>
          <w:ilvl w:val="0"/>
          <w:numId w:val="10"/>
        </w:numPr>
      </w:pPr>
      <w:r>
        <w:rPr/>
        <w:t xml:space="preserve">dans le sens de la longueur : tous les 1m au maximum ;</w:t>
      </w:r>
    </w:p>
    <w:p>
      <w:pPr>
        <w:pPr/>
        <w:numPr>
          <w:ilvl w:val="0"/>
          <w:numId w:val="10"/>
        </w:numPr>
      </w:pPr>
      <w:r>
        <w:rPr/>
        <w:t xml:space="preserve">et dans le sens de la largeur : tous les 50 cm au maximum.Il y aura lieu de bien indiquer que ce film doit être retiré qu’en fin de chantier afin de permettre la vérification du sens de pose.</w:t>
      </w:r>
    </w:p>
    <w:p>
      <w:pPr/>
      <w:r>
        <w:rPr/>
        <w:t xml:space="preserve">2) dans le cas où le système de vitrage organique multiparoi (en polycarbonate) visé dans le DTA reçoit la couche de protection au rayonnement ultra-violet sur ses deux faces extérieures, l’identification de la face protégée ne devient plus nécessaire.</w:t>
      </w:r>
    </w:p>
    <w:p>
      <w:pPr/>
      <w:r>
        <w:rPr/>
        <w:t xml:space="preserve">Cette Jurisprudence s’appliquera dès le 01/01/2020 et elle ne se substitue pas à l’exigence de marquage initiale existante (celle du marquage du vitrage même, longitudinalement et à proximité d’un des 2 bords latéraux) pour pallier au risque de perte du sens de pose de ces systèmes suite aux découpes potentielles de ces plaques polycarbonate.</w: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403DBF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DEFF9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ccfat.fr/groupe-specialise/06/" TargetMode="External"/><Relationship Id="rId8" Type="http://schemas.openxmlformats.org/officeDocument/2006/relationships/header" Target="header1.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2026-05-04T14:03:29+02:00</dcterms:created>
  <dcterms:modified xsi:type="dcterms:W3CDTF">2026-05-04T14:03:29+02:00</dcterms:modified>
</cp:coreProperties>
</file>

<file path=docProps/custom.xml><?xml version="1.0" encoding="utf-8"?>
<Properties xmlns="http://schemas.openxmlformats.org/officeDocument/2006/custom-properties" xmlns:vt="http://schemas.openxmlformats.org/officeDocument/2006/docPropsVTypes"/>
</file>