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Bloc sanitaire préfabriqué</w:t>
      </w:r>
    </w:p>
    <w:p>
      <w:pPr/>
      <w:r>
        <w:rPr>
          <w:rStyle w:val="font_h1"/>
        </w:rPr>
        <w:t xml:space="preserve">1. Principe du procédé</w:t>
      </w:r>
    </w:p>
    <w:p>
      <w:pPr/>
      <w:r>
        <w:rPr/>
        <w:t xml:space="preserve">Validé par le Groupe Spécialisé le 04/10/2018</w:t>
      </w:r>
    </w:p>
    <w:p>
      <w:pPr/>
      <w:r>
        <w:rPr>
          <w:b/>
          <w:bCs/>
        </w:rPr>
        <w:t xml:space="preserve">Description</w:t>
      </w:r>
    </w:p>
    <w:p>
      <w:pPr/>
      <w:r>
        <w:rPr/>
        <w:t xml:space="preserve">Les blocs sanitaires préfabriqués en usine sont constitués des parois de la cabine de nature et composition définies, des équipements sanitaires et accessoires, ainsi que les installations électriques, plomberies, ventilation et chauffage éventuellement, et les raccordements prévus aux installations de l’ouvrage. Les blocs sanitaires préfabriqués en usine sont constitués des parois de la cabine de nature et composition définies, des équipements et sont assemblés en usine. Le module de bloc sanitaire est acheminé sur le chantier par un transporteur, il est installé sur le site à l’aide d’élingage fixe ou amovible respectant les modalités de grutage ou similaire. Le bloc sanitaire peut être installé durant la phase de construction ou en rénovation. Les divers raccordements aux réseaux fluides, électricité et ventilation sont effectués par le corps d’état qui a en charge le bâtiment suivant les plans de raccordements.</w:t>
      </w:r>
    </w:p>
    <w:p>
      <w:pPr/>
      <w:r>
        <w:rPr/>
        <w:t xml:space="preserve">Terminologies utilisées :Bloc sanitaire : la cabine constituée de parois, receveur, plafond, porte, équipée des équipements destinés à l’usage de salle de bain, douche et sanitaire.Module de bloc sanitaire : Bloc sanitaire préfabriqué équipé de moyen d’élingage pour le transport et la livraison sur chantier.Elément d’habillage : habillage des parois de bloc sanitaire.</w:t>
      </w:r>
    </w:p>
    <w:p>
      <w:pPr/>
      <w:r>
        <w:rPr>
          <w:b/>
          <w:bCs/>
        </w:rPr>
        <w:t xml:space="preserve">Justification</w:t>
      </w:r>
    </w:p>
    <w:p>
      <w:pPr/>
      <w:r>
        <w:rPr/>
        <w:t xml:space="preserve">Il existe un guide pour la présentation des demandes d’Avis Techniques relatives aux procédés de blocs sanitaires préfabriqués en usine du Groupe Spécialisé n°9 « Cloisons, doublages et plafonds ».</w:t>
      </w:r>
    </w:p>
    <w:p>
      <w:pPr/>
      <w:r>
        <w:rPr>
          <w:rStyle w:val="font_h1"/>
        </w:rPr>
        <w:t xml:space="preserve">2. Domaine d'emploi visé</w:t>
      </w:r>
    </w:p>
    <w:p>
      <w:pPr/>
      <w:r>
        <w:rPr>
          <w:rStyle w:val="font_h1"/>
        </w:rPr>
        <w:t xml:space="preserve">3. Définition des constituants du bloc sanitaire</w:t>
      </w:r>
    </w:p>
    <w:p>
      <w:pPr>
        <w:ind w:left="720" w:right="0"/>
      </w:pPr>
      <w:r>
        <w:rPr>
          <w:rStyle w:val="font_h2"/>
        </w:rPr>
        <w:t xml:space="preserve">3.1. Matériaux -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Les Parois</w:t>
      </w:r>
    </w:p>
    <w:p>
      <w:pPr>
        <w:ind w:left="1440" w:right="0"/>
      </w:pPr>
      <w:r>
        <w:rPr>
          <w:rStyle w:val="font_h3"/>
        </w:rPr>
        <w:t xml:space="preserve">3.2.1. Les constituants</w:t>
      </w:r>
    </w:p>
    <w:p>
      <w:pPr>
        <w:ind w:left="1440" w:right="0"/>
      </w:pPr>
      <w:r>
        <w:rPr>
          <w:rStyle w:val="font_h3"/>
        </w:rPr>
        <w:t xml:space="preserve">3.2.2. Parois verticales</w:t>
      </w:r>
    </w:p>
    <w:p>
      <w:pPr>
        <w:ind w:left="1440" w:right="0"/>
      </w:pPr>
      <w:r>
        <w:rPr>
          <w:rStyle w:val="font_h3"/>
        </w:rPr>
        <w:t xml:space="preserve">3.2.3. Receveur</w:t>
      </w:r>
    </w:p>
    <w:p>
      <w:pPr>
        <w:ind w:left="1440" w:right="0"/>
      </w:pPr>
      <w:r>
        <w:rPr>
          <w:rStyle w:val="font_h3"/>
        </w:rPr>
        <w:t xml:space="preserve">3.2.4. Sol</w:t>
      </w:r>
    </w:p>
    <w:p>
      <w:pPr>
        <w:ind w:left="1440" w:right="0"/>
      </w:pPr>
      <w:r>
        <w:rPr>
          <w:rStyle w:val="font_h3"/>
        </w:rPr>
        <w:t xml:space="preserve">3.2.5. Plafond</w:t>
      </w:r>
    </w:p>
    <w:p>
      <w:pPr>
        <w:ind w:left="1440" w:right="0"/>
      </w:pPr>
      <w:r>
        <w:rPr>
          <w:rStyle w:val="font_h3"/>
        </w:rPr>
        <w:t xml:space="preserve">3.2.6. Trappes</w:t>
      </w:r>
    </w:p>
    <w:p>
      <w:pPr>
        <w:ind w:left="1440" w:right="0"/>
      </w:pPr>
      <w:r>
        <w:rPr>
          <w:rStyle w:val="font_h3"/>
        </w:rPr>
        <w:t xml:space="preserve">3.2.7. Portes</w:t>
      </w:r>
    </w:p>
    <w:p>
      <w:pPr>
        <w:ind w:left="720" w:right="0"/>
      </w:pPr>
      <w:r>
        <w:rPr>
          <w:rStyle w:val="font_h2"/>
        </w:rPr>
        <w:t xml:space="preserve">3.3. Equipements des blocs sanitaires</w:t>
      </w:r>
    </w:p>
    <w:p>
      <w:pPr>
        <w:ind w:left="1440" w:right="0"/>
      </w:pPr>
      <w:r>
        <w:rPr>
          <w:rStyle w:val="font_h3"/>
        </w:rPr>
        <w:t xml:space="preserve">3.3.1. Equipements hydrauliques EC/EF</w:t>
      </w:r>
    </w:p>
    <w:p>
      <w:pPr>
        <w:ind w:left="1440" w:right="0"/>
      </w:pPr>
      <w:r>
        <w:rPr>
          <w:rStyle w:val="font_h3"/>
        </w:rPr>
        <w:t xml:space="preserve">3.3.2. Equipements EU/EV</w:t>
      </w:r>
    </w:p>
    <w:p>
      <w:pPr>
        <w:ind w:left="1440" w:right="0"/>
      </w:pPr>
      <w:r>
        <w:rPr>
          <w:rStyle w:val="font_h3"/>
        </w:rPr>
        <w:t xml:space="preserve">3.3.3. Equipements de robinetterie</w:t>
      </w:r>
    </w:p>
    <w:p>
      <w:pPr>
        <w:ind w:left="1440" w:right="0"/>
      </w:pPr>
      <w:r>
        <w:rPr>
          <w:rStyle w:val="font_h3"/>
        </w:rPr>
        <w:t xml:space="preserve">3.3.4. Equipements sanitaires</w:t>
      </w:r>
    </w:p>
    <w:p>
      <w:pPr>
        <w:ind w:left="1440" w:right="0"/>
      </w:pPr>
      <w:r>
        <w:rPr>
          <w:rStyle w:val="font_h3"/>
        </w:rPr>
        <w:t xml:space="preserve">3.3.5. Equipements spécifiques PMR</w:t>
      </w:r>
    </w:p>
    <w:p>
      <w:pPr>
        <w:ind w:left="1440" w:right="0"/>
      </w:pPr>
      <w:r>
        <w:rPr>
          <w:rStyle w:val="font_h3"/>
        </w:rPr>
        <w:t xml:space="preserve">3.3.6. Equipements CVC</w:t>
      </w:r>
    </w:p>
    <w:p>
      <w:pPr>
        <w:ind w:left="1440" w:right="0"/>
      </w:pPr>
      <w:r>
        <w:rPr>
          <w:rStyle w:val="font_h3"/>
        </w:rPr>
        <w:t xml:space="preserve">3.3.7. Equipements électriques</w:t>
      </w:r>
    </w:p>
    <w:p>
      <w:pPr>
        <w:ind w:left="720" w:right="0"/>
      </w:pPr>
      <w:r>
        <w:rPr>
          <w:rStyle w:val="font_h2"/>
        </w:rPr>
        <w:t xml:space="preserve">3.4. Matériaux d'assemblage du procédé</w:t>
      </w:r>
    </w:p>
    <w:p>
      <w:pPr>
        <w:ind w:left="1440" w:right="0"/>
      </w:pPr>
      <w:r>
        <w:rPr>
          <w:rStyle w:val="font_h3"/>
        </w:rPr>
        <w:t xml:space="preserve">3.4.1. Matériaux de renforts</w:t>
      </w:r>
    </w:p>
    <w:p>
      <w:pPr>
        <w:ind w:left="1440" w:right="0"/>
      </w:pPr>
      <w:r>
        <w:rPr>
          <w:rStyle w:val="font_h3"/>
        </w:rPr>
        <w:t xml:space="preserve">3.4.2. Matériaux d'étanchéité</w:t>
      </w:r>
    </w:p>
    <w:p>
      <w:pPr>
        <w:ind w:left="1440" w:right="0"/>
      </w:pPr>
      <w:r>
        <w:rPr>
          <w:rStyle w:val="font_h3"/>
        </w:rPr>
        <w:t xml:space="preserve">3.4.3. Huisseries et seuils de porte</w:t>
      </w:r>
    </w:p>
    <w:p>
      <w:pPr>
        <w:ind w:left="1440" w:right="0"/>
      </w:pPr>
      <w:r>
        <w:rPr>
          <w:rStyle w:val="font_h3"/>
        </w:rPr>
        <w:t xml:space="preserve">3.4.4. Autres matériaux</w:t>
      </w:r>
    </w:p>
    <w:p>
      <w:pPr>
        <w:ind w:left="1440" w:right="0"/>
      </w:pPr>
      <w:r>
        <w:rPr>
          <w:rStyle w:val="font_h3"/>
        </w:rPr>
        <w:t xml:space="preserve">3.4.5. Moyens de levage</w:t>
      </w:r>
    </w:p>
    <w:p>
      <w:pPr>
        <w:ind w:left="720" w:right="0"/>
      </w:pPr>
      <w:r>
        <w:rPr>
          <w:rStyle w:val="font_h2"/>
        </w:rPr>
        <w:t xml:space="preserve">3.5. Habillage des parois</w:t>
      </w:r>
    </w:p>
    <w:p>
      <w:pPr>
        <w:ind w:left="1440" w:right="0"/>
      </w:pPr>
      <w:r>
        <w:rPr>
          <w:rStyle w:val="font_h3"/>
        </w:rPr>
        <w:t xml:space="preserve">3.5.1. Habillage externe</w:t>
      </w:r>
    </w:p>
    <w:p>
      <w:pPr>
        <w:ind w:left="1440" w:right="0"/>
      </w:pPr>
      <w:r>
        <w:rPr>
          <w:rStyle w:val="font_h3"/>
        </w:rPr>
        <w:t xml:space="preserve">3.5.2. Habillage interne</w:t>
      </w:r>
    </w:p>
    <w:p>
      <w:pPr>
        <w:ind w:left="720" w:right="0"/>
      </w:pPr>
      <w:r>
        <w:rPr>
          <w:rStyle w:val="font_h2"/>
        </w:rPr>
        <w:t xml:space="preserve">3.6. Les blocs sanitaires visés</w:t>
      </w:r>
    </w:p>
    <w:p>
      <w:pPr/>
      <w:r>
        <w:rPr>
          <w:rStyle w:val="font_h1"/>
        </w:rPr>
        <w:t xml:space="preserve">4. Conception, fabrication, contrôles</w:t>
      </w:r>
    </w:p>
    <w:p>
      <w:pPr>
        <w:ind w:left="720" w:right="0"/>
      </w:pPr>
      <w:r>
        <w:rPr>
          <w:rStyle w:val="font_h2"/>
        </w:rPr>
        <w:t xml:space="preserve">4.1. Conception</w:t>
      </w:r>
    </w:p>
    <w:p>
      <w:pPr>
        <w:ind w:left="720" w:right="0"/>
      </w:pPr>
      <w:r>
        <w:rPr>
          <w:rStyle w:val="font_h2"/>
        </w:rPr>
        <w:t xml:space="preserve">4.2. Fabrication et assemblage</w:t>
      </w:r>
    </w:p>
    <w:p>
      <w:pPr>
        <w:ind w:left="720" w:right="0"/>
      </w:pPr>
      <w:r>
        <w:rPr>
          <w:rStyle w:val="font_h2"/>
        </w:rPr>
        <w:t xml:space="preserve">4.3. Contrôles</w:t>
      </w:r>
    </w:p>
    <w:p>
      <w:pPr>
        <w:ind w:left="720" w:right="0"/>
      </w:pPr>
      <w:r>
        <w:rPr>
          <w:rStyle w:val="font_h2"/>
        </w:rPr>
        <w:t xml:space="preserve">4.4. Conditionnements et transports</w:t>
      </w:r>
    </w:p>
    <w:p>
      <w:pPr>
        <w:ind w:left="720" w:right="0"/>
      </w:pPr>
      <w:r>
        <w:rPr>
          <w:rStyle w:val="font_h2"/>
        </w:rPr>
        <w:t xml:space="preserve">4.5.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Mise en oeuvre</w:t>
      </w:r>
    </w:p>
    <w:p>
      <w:pPr>
        <w:ind w:left="720" w:right="0"/>
      </w:pPr>
      <w:r>
        <w:rPr>
          <w:rStyle w:val="font_h2"/>
        </w:rPr>
        <w:t xml:space="preserve">5.1. Prescriptions générales</w:t>
      </w:r>
    </w:p>
    <w:p>
      <w:pPr>
        <w:ind w:left="1440" w:right="0"/>
      </w:pPr>
      <w:r>
        <w:rPr>
          <w:rStyle w:val="font_h3"/>
        </w:rPr>
        <w:t xml:space="preserve">5.1.1. Acheminement</w:t>
      </w:r>
    </w:p>
    <w:p>
      <w:pPr>
        <w:ind w:left="1440" w:right="0"/>
      </w:pPr>
      <w:r>
        <w:rPr>
          <w:rStyle w:val="font_h3"/>
        </w:rPr>
        <w:t xml:space="preserve">5.1.2. Receptions sur chantier</w:t>
      </w:r>
    </w:p>
    <w:p>
      <w:pPr>
        <w:ind w:left="2160" w:right="0"/>
      </w:pPr>
      <w:r>
        <w:rPr>
          <w:rStyle w:val="font_h3"/>
        </w:rPr>
        <w:t xml:space="preserve">5.1.2.1. Blocs sanitaires</w:t>
      </w:r>
    </w:p>
    <w:p>
      <w:pPr>
        <w:ind w:left="2160" w:right="0"/>
      </w:pPr>
      <w:r>
        <w:rPr>
          <w:rStyle w:val="font_h3"/>
        </w:rPr>
        <w:t xml:space="preserve">5.1.2.2. Supports et attentes</w:t>
      </w:r>
    </w:p>
    <w:p>
      <w:pPr>
        <w:ind w:left="1440" w:right="0"/>
      </w:pPr>
      <w:r>
        <w:rPr>
          <w:rStyle w:val="font_h3"/>
        </w:rPr>
        <w:t xml:space="preserve">5.1.3. Intégration dans l'ouvrage</w:t>
      </w:r>
    </w:p>
    <w:p>
      <w:pPr>
        <w:ind w:left="2160" w:right="0"/>
      </w:pPr>
      <w:r>
        <w:rPr>
          <w:rStyle w:val="font_h3"/>
        </w:rPr>
        <w:t xml:space="preserve">5.1.3.1. Disposition générales</w:t>
      </w:r>
    </w:p>
    <w:p>
      <w:pPr>
        <w:ind w:left="2160" w:right="0"/>
      </w:pPr>
      <w:r>
        <w:rPr>
          <w:rStyle w:val="font_h3"/>
        </w:rPr>
        <w:t xml:space="preserve">5.1.3.2. Dispositions particulières</w:t>
      </w:r>
    </w:p>
    <w:p>
      <w:pPr>
        <w:ind w:left="720" w:right="0"/>
      </w:pPr>
      <w:r>
        <w:rPr>
          <w:rStyle w:val="font_h2"/>
        </w:rPr>
        <w:t xml:space="preserve">5.2. Raccordements divers et interfaces des différents lots</w:t>
      </w:r>
    </w:p>
    <w:p>
      <w:pPr>
        <w:ind w:left="1440" w:right="0"/>
      </w:pPr>
      <w:r>
        <w:rPr>
          <w:rStyle w:val="font_h3"/>
        </w:rPr>
        <w:t xml:space="preserve">5.2.1. Lot gros oeuvre</w:t>
      </w:r>
    </w:p>
    <w:p>
      <w:pPr>
        <w:ind w:left="1440" w:right="0"/>
      </w:pPr>
      <w:r>
        <w:rPr>
          <w:rStyle w:val="font_h3"/>
        </w:rPr>
        <w:t xml:space="preserve">5.2.2. Lot plomberie</w:t>
      </w:r>
    </w:p>
    <w:p>
      <w:pPr>
        <w:ind w:left="1440" w:right="0"/>
      </w:pPr>
      <w:r>
        <w:rPr>
          <w:rStyle w:val="font_h3"/>
        </w:rPr>
        <w:t xml:space="preserve">5.2.3. Lot VMC</w:t>
      </w:r>
    </w:p>
    <w:p>
      <w:pPr>
        <w:ind w:left="1440" w:right="0"/>
      </w:pPr>
      <w:r>
        <w:rPr>
          <w:rStyle w:val="font_h3"/>
        </w:rPr>
        <w:t xml:space="preserve">5.2.4. Lot électricité</w:t>
      </w:r>
    </w:p>
    <w:p>
      <w:pPr>
        <w:ind w:left="1440" w:right="0"/>
      </w:pPr>
      <w:r>
        <w:rPr>
          <w:rStyle w:val="font_h3"/>
        </w:rPr>
        <w:t xml:space="preserve">5.2.5. Lot second oeuvre</w:t>
      </w:r>
    </w:p>
    <w:p>
      <w:pPr>
        <w:ind w:left="720" w:right="0"/>
      </w:pPr>
      <w:r>
        <w:rPr>
          <w:rStyle w:val="font_h2"/>
        </w:rPr>
        <w:t xml:space="preserve">5.3. PAQ chantier</w:t>
      </w:r>
    </w:p>
    <w:p>
      <w:pPr/>
      <w:r>
        <w:rPr>
          <w:rStyle w:val="font_h1"/>
        </w:rPr>
        <w:t xml:space="preserve">6. Entretien et maintenance</w:t>
      </w:r>
    </w:p>
    <w:p>
      <w:pPr/>
      <w:r>
        <w:rPr>
          <w:rStyle w:val="font_h1"/>
        </w:rPr>
        <w:t xml:space="preserve">7. Assistance technique et formation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2026-06-01T12:52:20+02:00</dcterms:created>
  <dcterms:modified xsi:type="dcterms:W3CDTF">2026-06-01T12:52:20+02:00</dcterms:modified>
</cp:coreProperties>
</file>

<file path=docProps/custom.xml><?xml version="1.0" encoding="utf-8"?>
<Properties xmlns="http://schemas.openxmlformats.org/officeDocument/2006/custom-properties" xmlns:vt="http://schemas.openxmlformats.org/officeDocument/2006/docPropsVTypes"/>
</file>