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27/10/2025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Cloison distributive et doublage de mur</w:t>
      </w:r>
    </w:p>
    <w:p>
      <w:pPr/>
      <w:r>
        <w:rPr>
          <w:rStyle w:val="font_h1"/>
        </w:rPr>
        <w:t xml:space="preserve">1. Principe</w:t>
      </w:r>
    </w:p>
    <w:p>
      <w:pPr>
        <w:ind w:left="720" w:right="0"/>
      </w:pPr>
      <w:r>
        <w:rPr>
          <w:rStyle w:val="font_h2"/>
        </w:rPr>
        <w:t xml:space="preserve">1.1. Généralités</w:t>
      </w:r>
    </w:p>
    <w:p>
      <w:pPr/>
      <w:r>
        <w:rPr/>
        <w:t xml:space="preserve">Validé par le Groupe Spécialisé le 12/07/2018</w:t>
      </w:r>
    </w:p>
    <w:p>
      <w:pPr/>
      <w:r>
        <w:rPr>
          <w:b/>
          <w:bCs/>
        </w:rPr>
        <w:t xml:space="preserve">Description</w:t>
      </w:r>
    </w:p>
    <w:p>
      <w:pPr/>
      <w:r>
        <w:rPr/>
        <w:t xml:space="preserve">Voir chapitre 1 du Cahier 3750</w:t>
      </w:r>
    </w:p>
    <w:p>
      <w:pPr>
        <w:ind w:left="720" w:right="0"/>
      </w:pPr>
      <w:r>
        <w:rPr>
          <w:rStyle w:val="font_h2"/>
        </w:rPr>
        <w:t xml:space="preserve">1.2. Regroupement d’Avis Techniques</w:t>
      </w:r>
    </w:p>
    <w:p>
      <w:pPr/>
      <w:r>
        <w:rPr/>
        <w:t xml:space="preserve">Validé par le Groupe Spécialisé le 11/06/2019</w:t>
      </w:r>
    </w:p>
    <w:p>
      <w:pPr/>
      <w:r>
        <w:rPr>
          <w:b/>
          <w:bCs/>
        </w:rPr>
        <w:t xml:space="preserve">Description</w:t>
      </w:r>
    </w:p>
    <w:p>
      <w:pPr/>
      <w:r>
        <w:rPr/>
        <w:t xml:space="preserve">Si les plaques sont de même nature alors il est possible de ne faire qu’un seul DTA pour les plaques de largeur 900mm et 1200mm pour les contre-cloisons.</w:t>
      </w:r>
    </w:p>
    <w:p>
      <w:pPr>
        <w:ind w:left="720" w:right="0"/>
      </w:pPr>
      <w:r>
        <w:rPr>
          <w:rStyle w:val="font_h2"/>
        </w:rPr>
        <w:t xml:space="preserve">1.3. Cloisons distributives</w:t>
      </w:r>
    </w:p>
    <w:p>
      <w:pPr/>
      <w:r>
        <w:rPr>
          <w:rStyle w:val="font_h1"/>
        </w:rPr>
        <w:t xml:space="preserve">2. Domaine d'emploi</w:t>
      </w:r>
    </w:p>
    <w:p>
      <w:pPr/>
      <w:r>
        <w:rPr/>
        <w:t xml:space="preserve">Validé par le Groupe Spécialisé le 12/07/2018</w:t>
      </w:r>
    </w:p>
    <w:p>
      <w:pPr/>
      <w:r>
        <w:rPr>
          <w:b/>
          <w:bCs/>
        </w:rPr>
        <w:t xml:space="preserve">Description</w:t>
      </w:r>
    </w:p>
    <w:p>
      <w:pPr/>
      <w:r>
        <w:rPr/>
        <w:t xml:space="preserve">Voir § 2 du Cahier 3750.</w:t>
      </w:r>
    </w:p>
    <w:p>
      <w:pPr/>
      <w:r>
        <w:rPr>
          <w:rStyle w:val="font_h1"/>
        </w:rPr>
        <w:t xml:space="preserve">3. Matériaux</w:t>
      </w:r>
    </w:p>
    <w:p>
      <w:pPr>
        <w:ind w:left="720" w:right="0"/>
      </w:pPr>
      <w:r>
        <w:rPr>
          <w:rStyle w:val="font_h2"/>
        </w:rPr>
        <w:t xml:space="preserve">3.1. Généralité</w:t>
      </w:r>
    </w:p>
    <w:p>
      <w:pPr/>
      <w:r>
        <w:rPr/>
        <w:t xml:space="preserve">Validé par le Groupe Spécialisé le 12/07/2018</w:t>
      </w:r>
    </w:p>
    <w:p>
      <w:pPr/>
      <w:r>
        <w:rPr>
          <w:b/>
          <w:bCs/>
        </w:rPr>
        <w:t xml:space="preserve">Description</w:t>
      </w:r>
    </w:p>
    <w:p>
      <w:pPr/>
      <w:r>
        <w:rPr/>
        <w:t xml:space="preserve">Voir § 3 du Cahier 3750.</w:t>
      </w:r>
    </w:p>
    <w:p>
      <w:pPr>
        <w:ind w:left="720" w:right="0"/>
      </w:pPr>
      <w:r>
        <w:rPr>
          <w:rStyle w:val="font_h2"/>
        </w:rPr>
        <w:t xml:space="preserve">3.2. Moisissures</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jurisprudence.Les essais de performances en termes de résistance aux moisissures doivent être réalisés à nouveau à chaque révision pour les systèmes ayant accès à ce domaine d’emploi.Tous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r>
        <w:rPr>
          <w:b/>
          <w:bCs/>
        </w:rPr>
        <w:t xml:space="preserve">Critères d'évaluation</w:t>
      </w:r>
    </w:p>
    <w:p>
      <w:pPr/>
      <w:r>
        <w:rPr/>
        <w:t xml:space="preserve">Demander la jurisprudence relative aux exigences en terme de développement des moisissures sur les matériaux de cloisons et plafonds dans les locaux à très forte hygrométrie</w:t>
      </w:r>
    </w:p>
    <w:p>
      <w:pPr>
        <w:ind w:left="720" w:right="0"/>
      </w:pPr>
      <w:r>
        <w:rPr>
          <w:rStyle w:val="font_h2"/>
        </w:rPr>
        <w:t xml:space="preserve">3.3. Parements</w:t>
      </w:r>
    </w:p>
    <w:p>
      <w:pPr/>
      <w:r>
        <w:rPr/>
        <w:t xml:space="preserve">Validé par le Groupe Spécialisé le 12/07/2018</w:t>
      </w:r>
    </w:p>
    <w:p>
      <w:pPr/>
      <w:r>
        <w:rPr>
          <w:b/>
          <w:bCs/>
        </w:rPr>
        <w:t xml:space="preserve">Description</w:t>
      </w:r>
    </w:p>
    <w:p>
      <w:pPr/>
      <w:r>
        <w:rPr/>
        <w:t xml:space="preserve">Voir § 3.11 du Cahier 3750.</w:t>
      </w:r>
    </w:p>
    <w:p>
      <w:pPr>
        <w:ind w:left="720" w:right="0"/>
      </w:pPr>
      <w:r>
        <w:rPr>
          <w:rStyle w:val="font_h2"/>
        </w:rPr>
        <w:t xml:space="preserve">3.4. Matériaux polymères</w:t>
      </w:r>
    </w:p>
    <w:p>
      <w:pPr/>
      <w:r>
        <w:rPr/>
        <w:t xml:space="preserve">Validé par le Groupe Spécialisé le 12/12/2017</w:t>
      </w:r>
    </w:p>
    <w:p>
      <w:pPr/>
      <w:r>
        <w:rPr>
          <w:b/>
          <w:bCs/>
        </w:rPr>
        <w:t xml:space="preserve">Description</w:t>
      </w:r>
    </w:p>
    <w:p>
      <w:pPr/>
      <w:r>
        <w:rPr/>
        <w:t xml:space="preserve">Il existe aujourd’hui une lacune dans le suivi de constance de qualité des pièces polymères présentes dans les dossiers. Ceci concerne de plus en plus d’éléments : appuis de contre cloisons, suspentes spéciales avec ponts thermiques réduits, accessoires de maintien de pare vapeurs…La pratique aujourd’hui est de déposer un cahier des charges auprès du CSTB mais cela ne donne pas lieu à un suivi  et la composition des polymères est le plus souvent inconnue. Mettre en place une action pour suivre la production sans distorsion au niveau de ce qui est demandé aujourd’hui pour les pièces métalliques.</w:t>
      </w:r>
    </w:p>
    <w:p>
      <w:pPr>
        <w:ind w:left="720" w:right="0"/>
      </w:pPr>
      <w:r>
        <w:rPr>
          <w:rStyle w:val="font_h2"/>
        </w:rPr>
        <w:t xml:space="preserve">3.5. Appuis</w:t>
      </w:r>
    </w:p>
    <w:p>
      <w:pPr>
        <w:ind w:left="1440" w:right="0"/>
      </w:pPr>
      <w:r>
        <w:rPr>
          <w:rStyle w:val="font_h3"/>
        </w:rPr>
        <w:t xml:space="preserve">3.5.1. jurisprudence</w:t>
      </w:r>
    </w:p>
    <w:p>
      <w:pPr/>
      <w:r>
        <w:rPr/>
        <w:t xml:space="preserve">Validé par le Groupe Spécialisé le 29/11/2018</w:t>
      </w:r>
    </w:p>
    <w:p>
      <w:pPr/>
      <w:r>
        <w:rPr>
          <w:b/>
          <w:bCs/>
        </w:rPr>
        <w:t xml:space="preserve">Description</w:t>
      </w:r>
    </w:p>
    <w:p>
      <w:pPr/>
      <w:r>
        <w:rPr/>
        <w:t xml:space="preserve">Des essais de traction (arrachement) des appuis avec les fourrures doivent être réalisés à chaque révision d’Avis Technique</w:t>
      </w:r>
    </w:p>
    <w:p>
      <w:pPr>
        <w:ind w:left="720" w:right="0"/>
      </w:pPr>
      <w:r>
        <w:rPr>
          <w:rStyle w:val="font_h2"/>
        </w:rPr>
        <w:t xml:space="preserve">3.6. Enduits</w:t>
      </w:r>
    </w:p>
    <w:p>
      <w:pPr/>
      <w:r>
        <w:rPr>
          <w:rStyle w:val="font_h1"/>
        </w:rPr>
        <w:t xml:space="preserve">4. Fabrication - contrôles</w:t>
      </w:r>
    </w:p>
    <w:p>
      <w:pPr>
        <w:ind w:left="720" w:right="0"/>
      </w:pPr>
      <w:r>
        <w:rPr>
          <w:rStyle w:val="font_h2"/>
        </w:rPr>
        <w:t xml:space="preserve">4.1. Généralités</w:t>
      </w:r>
    </w:p>
    <w:p>
      <w:pPr/>
      <w:r>
        <w:rPr/>
        <w:t xml:space="preserve">Validé par le Groupe Spécialisé le 12/07/2018</w:t>
      </w:r>
    </w:p>
    <w:p>
      <w:pPr/>
      <w:r>
        <w:rPr>
          <w:b/>
          <w:bCs/>
        </w:rPr>
        <w:t xml:space="preserve">Description</w:t>
      </w:r>
    </w:p>
    <w:p>
      <w:pPr/>
      <w:r>
        <w:rPr/>
        <w:t xml:space="preserve">Voir § 4 du Cahier 3750</w:t>
      </w:r>
    </w:p>
    <w:p>
      <w:pPr>
        <w:ind w:left="720" w:right="0"/>
      </w:pPr>
      <w:r>
        <w:rPr>
          <w:rStyle w:val="font_h2"/>
        </w:rPr>
        <w:t xml:space="preserve">4.2. Suivi ou certification des produits par tierce partie</w:t>
      </w:r>
    </w:p>
    <w:p>
      <w:pPr/>
      <w:r>
        <w:rPr/>
        <w:t xml:space="preserve">Validé par le Groupe Spécialisé le 11/06/2019</w:t>
      </w:r>
    </w:p>
    <w:p>
      <w:pPr/>
      <w:r>
        <w:rPr>
          <w:b/>
          <w:bCs/>
        </w:rPr>
        <w:t xml:space="preserve">Description</w:t>
      </w:r>
    </w:p>
    <w:p>
      <w:pPr/>
      <w:r>
        <w:rPr/>
        <w:t xml:space="preserve">Se référer à la jurisprudence "suivi ou certification nécessaire ou non nécessaire des produits contenus dans les systèmes faisant l’objet d’un Avis Technique ou DTA du GS 9" pour connaitre les suivis exigés par le GS9</w:t>
      </w:r>
    </w:p>
    <w:p>
      <w:pPr/>
      <w:r>
        <w:rPr>
          <w:rStyle w:val="font_h1"/>
        </w:rPr>
        <w:t xml:space="preserve">5. Conception - Dimensionnement</w:t>
      </w:r>
    </w:p>
    <w:p>
      <w:pPr>
        <w:ind w:left="720" w:right="0"/>
      </w:pPr>
      <w:r>
        <w:rPr>
          <w:rStyle w:val="font_h2"/>
        </w:rPr>
        <w:t xml:space="preserve">5.1. Généralité</w:t>
      </w:r>
    </w:p>
    <w:p>
      <w:pPr/>
      <w:r>
        <w:rPr/>
        <w:t xml:space="preserve">Validé par le Groupe Spécialisé le 12/07/2018</w:t>
      </w:r>
    </w:p>
    <w:p>
      <w:pPr/>
      <w:r>
        <w:rPr>
          <w:b/>
          <w:bCs/>
        </w:rPr>
        <w:t xml:space="preserve">Description</w:t>
      </w:r>
    </w:p>
    <w:p>
      <w:pPr/>
      <w:r>
        <w:rPr/>
        <w:t xml:space="preserve">Voir § 5 du Cahier 3750.</w:t>
      </w:r>
    </w:p>
    <w:p>
      <w:pPr>
        <w:ind w:left="720" w:right="0"/>
      </w:pPr>
      <w:r>
        <w:rPr>
          <w:rStyle w:val="font_h2"/>
        </w:rPr>
        <w:t xml:space="preserve">5.2. Cas d'utilisation en support de carreaux céramiques</w:t>
      </w:r>
    </w:p>
    <w:p>
      <w:pPr/>
      <w:r>
        <w:rPr/>
        <w:t xml:space="preserve">Validé par le Groupe Spécialisé le 12/12/2017</w:t>
      </w:r>
    </w:p>
    <w:p>
      <w:pPr/>
      <w:r>
        <w:rPr>
          <w:b/>
          <w:bCs/>
        </w:rPr>
        <w:t xml:space="preserve">Description</w:t>
      </w:r>
    </w:p>
    <w:p>
      <w:pPr/>
      <w:r>
        <w:rPr/>
        <w:t xml:space="preserve">Caractéristiques des dimensions des carreaux utilisés.</w:t>
      </w:r>
    </w:p>
    <w:p>
      <w:pPr/>
      <w:r>
        <w:rPr>
          <w:b/>
          <w:bCs/>
        </w:rPr>
        <w:t xml:space="preserve">Justification</w:t>
      </w:r>
    </w:p>
    <w:p>
      <w:pPr/>
      <w:r>
        <w:rPr/>
        <w:t xml:space="preserve">Pour les carreaux de type et de dimensions hors DTU 52.2, et de dimensions inférieures à 3600cm², des essais de choc sont à réaliser après détermination de la configuration la plus défavorable.</w:t>
      </w:r>
    </w:p>
    <w:p>
      <w:pPr>
        <w:ind w:left="720" w:right="0"/>
      </w:pPr>
      <w:r>
        <w:rPr>
          <w:rStyle w:val="font_h2"/>
        </w:rPr>
        <w:t xml:space="preserve">5.3. Apport des plafonds suspendus dans le calcul des hauteurs de cloisons</w:t>
      </w:r>
    </w:p>
    <w:p>
      <w:pPr>
        <w:ind w:left="1440" w:right="0"/>
      </w:pPr>
      <w:r>
        <w:rPr>
          <w:rStyle w:val="font_h3"/>
        </w:rPr>
        <w:t xml:space="preserve">5.3.1. Jurisprudence</w:t>
      </w:r>
    </w:p>
    <w:p>
      <w:pPr/>
      <w:r>
        <w:rPr/>
        <w:t xml:space="preserve">Validé par le Groupe Spécialisé le 18/04/2017</w:t>
      </w:r>
    </w:p>
    <w:p>
      <w:pPr/>
      <w:r>
        <w:rPr>
          <w:b/>
          <w:bCs/>
        </w:rPr>
        <w:t xml:space="preserve">Description</w:t>
      </w:r>
    </w:p>
    <w:p>
      <w:pPr/>
      <w:r>
        <w:rPr/>
        <w:t xml:space="preserve">Lorsque la cloison traverse le plénum d’un plafond fixe, la hauteur à prendre en compte pour le dimensionnement mécanique à froid de la cloison est égale à la hauteur sous plafond. La hauteur totale de la cloison avant plafond est cependant limitée à 1.45 fois la hauteur sous plafond (hauteur de référence du montage) et ce pour des raisons de fragilité de la cloison en phase de montage avant la pose du plafond. </w:t>
      </w:r>
    </w:p>
    <w:p>
      <w:pPr/>
      <w:r>
        <w:rPr/>
        <w:t xml:space="preserve">L’acceptation de cette méthode est conditionnée au fait que:</w:t>
      </w:r>
    </w:p>
    <w:p>
      <w:pPr/>
      <w:r>
        <w:rPr/>
        <w:t xml:space="preserve">-Le plafond est un plafond plaque de plâtre-Le plafond est présent de chaque côté de cloison-La première suspente du plafond est placée à une distance inférieure ou égale à 30 cm de la cloison.</w:t>
      </w:r>
    </w:p>
    <w:p>
      <w:pPr>
        <w:ind w:left="720" w:right="0"/>
      </w:pPr>
      <w:r>
        <w:rPr>
          <w:rStyle w:val="font_h2"/>
        </w:rPr>
        <w:t xml:space="preserve">5.4. Essais de chocs pour les contre-cloisons avec appuis</w:t>
      </w:r>
    </w:p>
    <w:p>
      <w:pPr/>
      <w:r>
        <w:rPr/>
        <w:t xml:space="preserve">Validé par le Groupe Spécialisé le 11/06/2019</w:t>
      </w:r>
    </w:p>
    <w:p>
      <w:pPr/>
      <w:r>
        <w:rPr>
          <w:b/>
          <w:bCs/>
        </w:rPr>
        <w:t xml:space="preserve">Description</w:t>
      </w:r>
    </w:p>
    <w:p>
      <w:pPr/>
      <w:r>
        <w:rPr/>
        <w:t xml:space="preserve">Lorsque le système comporte des appuis. Des essais de chocs avec les appuis doivent être réalisés. Ces essais sont à réaliser avec l’appui le plus court et recoupé au minimum et avec l’appui le plus long. Si le demandeur revendique une position d’au moins un appui systématique dans la zone de choc (entre 1,25m et 1,5m), un seul essai avec choc sur appui est admis. Si le demandeur revendique une position d’appui en dehors de la zone de choc alors un essai devra être réalisé avec l’appui à cette hauteur. Il est possible de réaliser les essais pour les locaux cas A et cas B sur une même maquette. Ces essais sont à réaliser pour la configuration la plus défavorable à déterminer au cas par cas (entraxe le plus important…).(Echéance de mise en application : à la révision ou première demande).</w:t>
      </w:r>
    </w:p>
    <w:p>
      <w:pPr>
        <w:ind w:left="720" w:right="0"/>
      </w:pPr>
      <w:r>
        <w:rPr>
          <w:rStyle w:val="font_h2"/>
        </w:rPr>
        <w:t xml:space="preserve">5.5. Contre-cloisons sans ossatures</w:t>
      </w:r>
    </w:p>
    <w:p>
      <w:pPr>
        <w:ind w:left="720" w:right="0"/>
      </w:pPr>
      <w:r>
        <w:rPr>
          <w:rStyle w:val="font_h2"/>
        </w:rPr>
        <w:t xml:space="preserve">5.6.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 (module dynamique de la plaque).</w:t>
      </w:r>
    </w:p>
    <w:p>
      <w:pPr/>
      <w:r>
        <w:rPr>
          <w:rStyle w:val="font_h1"/>
        </w:rPr>
        <w:t xml:space="preserve">6. Mise en œuvre - Contrôles</w:t>
      </w:r>
    </w:p>
    <w:p>
      <w:pPr>
        <w:ind w:left="720" w:right="0"/>
      </w:pPr>
      <w:r>
        <w:rPr>
          <w:rStyle w:val="font_h2"/>
        </w:rPr>
        <w:t xml:space="preserve">6.1. Plaques de plâtre</w:t>
      </w:r>
    </w:p>
    <w:p>
      <w:pPr>
        <w:ind w:left="720" w:right="0"/>
      </w:pPr>
      <w:r>
        <w:rPr>
          <w:rStyle w:val="font_h2"/>
        </w:rPr>
        <w:t xml:space="preserve">6.2. Menuiseries</w:t>
      </w:r>
    </w:p>
    <w:p>
      <w:pPr/>
      <w:r>
        <w:rPr>
          <w:rStyle w:val="font_h1"/>
        </w:rPr>
        <w:t xml:space="preserve">7. Entretien</w:t>
      </w:r>
    </w:p>
    <w:p>
      <w:pPr/>
      <w:r>
        <w:rPr>
          <w:rStyle w:val="font_h1"/>
        </w:rPr>
        <w:t xml:space="preserve">8. Rôle des intervenants</w:t>
      </w:r>
    </w:p>
    <w:p>
      <w:pPr/>
      <w:r>
        <w:rPr>
          <w:rStyle w:val="font_h1"/>
        </w:rPr>
        <w:t xml:space="preserve">9.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2025-10-27T18:08:39+01:00</dcterms:created>
  <dcterms:modified xsi:type="dcterms:W3CDTF">2025-10-27T18:08:39+01:00</dcterms:modified>
</cp:coreProperties>
</file>

<file path=docProps/custom.xml><?xml version="1.0" encoding="utf-8"?>
<Properties xmlns="http://schemas.openxmlformats.org/officeDocument/2006/custom-properties" xmlns:vt="http://schemas.openxmlformats.org/officeDocument/2006/docPropsVTypes"/>
</file>