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09 - Édité le 01/06/2026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09 « Cloisons, doublages et plafonds »</w:t>
      </w:r>
    </w:p>
    <w:p>
      <w:pPr/>
      <w:r>
        <w:rPr>
          <w:rStyle w:val="font_default"/>
        </w:rPr>
        <w:t xml:space="preserve">Famille de produits ou procédés : </w:t>
      </w:r>
      <w:r>
        <w:rPr>
          <w:rStyle w:val="font_h3"/>
        </w:rPr>
        <w:t xml:space="preserve">Cloison séparative</w:t>
      </w:r>
    </w:p>
    <w:p>
      <w:pPr/>
      <w:r>
        <w:rPr>
          <w:rStyle w:val="font_h1"/>
        </w:rPr>
        <w:t xml:space="preserve">1. Principe</w:t>
      </w:r>
    </w:p>
    <w:p>
      <w:pPr>
        <w:ind w:left="720" w:right="0"/>
      </w:pPr>
      <w:r>
        <w:rPr>
          <w:rStyle w:val="font_h2"/>
        </w:rPr>
        <w:t xml:space="preserve">1.1. Généralités</w:t>
      </w:r>
    </w:p>
    <w:p>
      <w:pPr/>
      <w:r>
        <w:rPr/>
        <w:t xml:space="preserve">Validé par le Groupe Spécialisé le 21/11/2016</w:t>
      </w:r>
    </w:p>
    <w:p>
      <w:pPr/>
      <w:r>
        <w:rPr>
          <w:b/>
          <w:bCs/>
        </w:rPr>
        <w:t xml:space="preserve">Description</w:t>
      </w:r>
    </w:p>
    <w:p>
      <w:pPr/>
      <w:r>
        <w:rPr/>
        <w:t xml:space="preserve">cf. § 1. guide cloisons séparatives</w:t>
      </w:r>
    </w:p>
    <w:p>
      <w:pPr/>
      <w:r>
        <w:rPr>
          <w:rStyle w:val="font_h1"/>
        </w:rPr>
        <w:t xml:space="preserve">2. Domaine d'emploi</w:t>
      </w:r>
    </w:p>
    <w:p>
      <w:pPr>
        <w:ind w:left="720" w:right="0"/>
      </w:pPr>
      <w:r>
        <w:rPr>
          <w:rStyle w:val="font_h2"/>
        </w:rPr>
        <w:t xml:space="preserve">2.1. Généralités</w:t>
      </w:r>
    </w:p>
    <w:p>
      <w:pPr/>
      <w:r>
        <w:rPr/>
        <w:t xml:space="preserve">Validé par le Groupe Spécialisé le 21/11/2016</w:t>
      </w:r>
    </w:p>
    <w:p>
      <w:pPr/>
      <w:r>
        <w:rPr>
          <w:b/>
          <w:bCs/>
        </w:rPr>
        <w:t xml:space="preserve">Description</w:t>
      </w:r>
    </w:p>
    <w:p>
      <w:pPr/>
      <w:r>
        <w:rPr/>
        <w:t xml:space="preserve">cf. § 2 du guide cloisons séparatives</w:t>
      </w:r>
    </w:p>
    <w:p>
      <w:pPr/>
      <w:r>
        <w:rPr>
          <w:rStyle w:val="font_h1"/>
        </w:rPr>
        <w:t xml:space="preserve">3. Matériaux</w:t>
      </w:r>
    </w:p>
    <w:p>
      <w:pPr>
        <w:ind w:left="720" w:right="0"/>
      </w:pPr>
      <w:r>
        <w:rPr>
          <w:rStyle w:val="font_h2"/>
        </w:rPr>
        <w:t xml:space="preserve">3.1. Généralités</w:t>
      </w:r>
    </w:p>
    <w:p>
      <w:pPr/>
      <w:r>
        <w:rPr/>
        <w:t xml:space="preserve">Validé par le Groupe Spécialisé le 21/11/2016</w:t>
      </w:r>
    </w:p>
    <w:p>
      <w:pPr/>
      <w:r>
        <w:rPr>
          <w:b/>
          <w:bCs/>
        </w:rPr>
        <w:t xml:space="preserve">Description</w:t>
      </w:r>
    </w:p>
    <w:p>
      <w:pPr/>
      <w:r>
        <w:rPr/>
        <w:t xml:space="preserve">cf. § 3 du guide cloisons séparatives</w:t>
      </w:r>
    </w:p>
    <w:p>
      <w:pPr>
        <w:ind w:left="720" w:right="0"/>
      </w:pPr>
      <w:r>
        <w:rPr>
          <w:rStyle w:val="font_h2"/>
        </w:rPr>
        <w:t xml:space="preserve">3.2. Moisissures</w:t>
      </w:r>
    </w:p>
    <w:p>
      <w:pPr/>
      <w:r>
        <w:rPr/>
        <w:t xml:space="preserve">Validé par le Groupe Spécialisé le 05/02/2019</w:t>
      </w:r>
    </w:p>
    <w:p>
      <w:pPr/>
      <w:r>
        <w:rPr>
          <w:b/>
          <w:bCs/>
        </w:rPr>
        <w:t xml:space="preserve">Description</w:t>
      </w:r>
    </w:p>
    <w:p>
      <w:pPr/>
      <w:r>
        <w:rPr/>
        <w:t xml:space="preserve">Jurisprudence relative aux exigences en terme de développement des moisissures sur les matériaux de cloisons et plafonds dans les locaux à très forte hygrométrie : Dans les locaux à très forte hygrométrie, les matériaux ne peuvent pas être classés « vulnérable » aux moisissures et ils doivent répondre aux exigences du tableau de la jurisprudence.Les essais de performances en termes de résistance aux moisissures doivent être réalisés à nouveau à chaque révision pour les systèmes ayant accès à ce domaine d’emploi.Tous les types de matériaux constituant les cloisons, doublages et plafonds suspendus sont concernés par cette jurisprudence. Les éléments de mise en œuvre associés aux plaques ou éléments principaux (exemple : enduit de jointoiement, bandes, éventuelle colle entre plaques, SPEC…) doivent être aussi évalués.</w:t>
      </w:r>
    </w:p>
    <w:p>
      <w:pPr/>
      <w:r>
        <w:rPr>
          <w:rStyle w:val="font_h1"/>
        </w:rPr>
        <w:t xml:space="preserve">4. Fabrication - Contrôles</w:t>
      </w:r>
    </w:p>
    <w:p>
      <w:pPr>
        <w:ind w:left="720" w:right="0"/>
      </w:pPr>
      <w:r>
        <w:rPr>
          <w:rStyle w:val="font_h2"/>
        </w:rPr>
        <w:t xml:space="preserve">4.1. Généralités</w:t>
      </w:r>
    </w:p>
    <w:p>
      <w:pPr>
        <w:ind w:left="720" w:right="0"/>
      </w:pPr>
      <w:r>
        <w:rPr>
          <w:rStyle w:val="font_h2"/>
        </w:rPr>
        <w:t xml:space="preserve">4.2. Suivi ou certification des produits par tierce partie</w:t>
      </w:r>
    </w:p>
    <w:p>
      <w:pPr/>
      <w:r>
        <w:rPr/>
        <w:t xml:space="preserve">Validé par le Groupe Spécialisé le 11/06/2019</w:t>
      </w:r>
    </w:p>
    <w:p>
      <w:pPr/>
      <w:r>
        <w:rPr>
          <w:b/>
          <w:bCs/>
        </w:rPr>
        <w:t xml:space="preserve">Description</w:t>
      </w:r>
    </w:p>
    <w:p>
      <w:pPr/>
      <w:r>
        <w:rPr/>
        <w:t xml:space="preserve">Se référer à la jurisprudence "suivi ou certification nécessaire ou non nécessaire des produits contenus dans les systèmes faisant l’objet d’un Avis Technique ou DTA du GS 9" pour connaitre les suivis exigés par le GS9</w:t>
      </w:r>
    </w:p>
    <w:p>
      <w:pPr/>
      <w:r>
        <w:rPr>
          <w:rStyle w:val="font_h1"/>
        </w:rPr>
        <w:t xml:space="preserve">5. Conception - Dimensionnement</w:t>
      </w:r>
    </w:p>
    <w:p>
      <w:pPr>
        <w:ind w:left="720" w:right="0"/>
      </w:pPr>
      <w:r>
        <w:rPr>
          <w:rStyle w:val="font_h2"/>
        </w:rPr>
        <w:t xml:space="preserve">5.1. Généralités</w:t>
      </w:r>
    </w:p>
    <w:p>
      <w:pPr/>
      <w:r>
        <w:rPr/>
        <w:t xml:space="preserve">Validé par le Groupe Spécialisé le 21/11/2016</w:t>
      </w:r>
    </w:p>
    <w:p>
      <w:pPr/>
      <w:r>
        <w:rPr>
          <w:b/>
          <w:bCs/>
        </w:rPr>
        <w:t xml:space="preserve">Description</w:t>
      </w:r>
    </w:p>
    <w:p>
      <w:pPr/>
      <w:r>
        <w:rPr/>
        <w:t xml:space="preserve">cf. § 5 du guide cloisons séparatives</w:t>
      </w:r>
    </w:p>
    <w:p>
      <w:pPr>
        <w:ind w:left="720" w:right="0"/>
      </w:pPr>
      <w:r>
        <w:rPr>
          <w:rStyle w:val="font_h2"/>
        </w:rPr>
        <w:t xml:space="preserve">5.2. justification des hauteurs de cloisons</w:t>
      </w:r>
    </w:p>
    <w:p>
      <w:pPr/>
      <w:r>
        <w:rPr/>
        <w:t xml:space="preserve">Validé par le Groupe Spécialisé le 28/09/2017</w:t>
      </w:r>
    </w:p>
    <w:p>
      <w:pPr/>
      <w:r>
        <w:rPr>
          <w:b/>
          <w:bCs/>
        </w:rPr>
        <w:t xml:space="preserve">Description</w:t>
      </w:r>
    </w:p>
    <w:p>
      <w:pPr/>
      <w:r>
        <w:rPr/>
        <w:t xml:space="preserve">Les tableaux de hauteur doivent être établis selon les principes suivants :</w:t>
      </w:r>
    </w:p>
    <w:p>
      <w:pPr>
        <w:pPr/>
        <w:numPr>
          <w:ilvl w:val="0"/>
          <w:numId w:val="9"/>
        </w:numPr>
      </w:pPr>
      <w:r>
        <w:rPr/>
        <w:t xml:space="preserve">Les hauteurs obtenues doivent être arrondies  à 5 cm inférieures.</w:t>
      </w:r>
    </w:p>
    <w:p>
      <w:pPr>
        <w:pPr/>
        <w:numPr>
          <w:ilvl w:val="0"/>
          <w:numId w:val="9"/>
        </w:numPr>
      </w:pPr>
      <w:r>
        <w:rPr/>
        <w:t xml:space="preserve">Ces valeurs sont obtenues par calcul en utilisant,•   les inerties certifiées des profilés à deux décimales après la virgule•   Une hauteur de montage de référence arrondie à 1 cm inférieure</w:t>
      </w:r>
    </w:p>
    <w:p>
      <w:pPr>
        <w:ind w:left="720" w:right="0"/>
      </w:pPr>
      <w:r>
        <w:rPr>
          <w:rStyle w:val="font_h2"/>
        </w:rPr>
        <w:t xml:space="preserve">5.3. Ecartement entre lignes d'ossatures</w:t>
      </w:r>
    </w:p>
    <w:p>
      <w:pPr/>
      <w:r>
        <w:rPr/>
        <w:t xml:space="preserve">Validé par le Groupe Spécialisé le 27/06/2019</w:t>
      </w:r>
    </w:p>
    <w:p>
      <w:pPr/>
      <w:r>
        <w:rPr>
          <w:b/>
          <w:bCs/>
        </w:rPr>
        <w:t xml:space="preserve">Description</w:t>
      </w:r>
    </w:p>
    <w:p>
      <w:pPr/>
      <w:r>
        <w:rPr/>
        <w:t xml:space="preserve">cf. partie 2 § 2.11 du guide cloisons séparatives</w:t>
      </w:r>
    </w:p>
    <w:p>
      <w:pPr/>
      <w:r>
        <w:rPr>
          <w:b/>
          <w:bCs/>
        </w:rPr>
        <w:t xml:space="preserve">Justification</w:t>
      </w:r>
    </w:p>
    <w:p>
      <w:pPr/>
      <w:r>
        <w:rPr/>
        <w:t xml:space="preserve">L'application d'un écartement minimum de 2 cm entre lignes d'ossatures dispense 'un essais de choc sur cloison séparative complète. Dans ce cas, un simple essais de choc sur contre cloisons dans les conditions du §2.11 partie 2 du guide cloisons séparatives est admis.</w:t>
      </w:r>
    </w:p>
    <w:p>
      <w:pPr>
        <w:ind w:left="720" w:right="0"/>
      </w:pPr>
      <w:r>
        <w:rPr>
          <w:rStyle w:val="font_h2"/>
        </w:rPr>
        <w:t xml:space="preserve">5.4. Simulations acoustiques pour les cloisons séparatives</w:t>
      </w:r>
    </w:p>
    <w:p>
      <w:pPr/>
      <w:r>
        <w:rPr/>
        <w:t xml:space="preserve">Validé par le Groupe Spécialisé le 18/04/2019</w:t>
      </w:r>
    </w:p>
    <w:p>
      <w:pPr/>
      <w:r>
        <w:rPr>
          <w:b/>
          <w:bCs/>
        </w:rPr>
        <w:t xml:space="preserve">Description</w:t>
      </w:r>
    </w:p>
    <w:p>
      <w:pPr/>
      <w:r>
        <w:rPr/>
        <w:t xml:space="preserve">Les simulations acoustiques peuvent être citées mais pas leurs résultats, aussi un nota précisant que le groupe spécialisé ne s’est pas prononcé sur ces simulations doit être ajouté.</w:t>
      </w:r>
    </w:p>
    <w:p>
      <w:pPr>
        <w:ind w:left="720" w:right="0"/>
      </w:pPr>
      <w:r>
        <w:rPr>
          <w:rStyle w:val="font_h2"/>
        </w:rPr>
        <w:t xml:space="preserve">5.5. Validité des essais acoustiques</w:t>
      </w:r>
    </w:p>
    <w:p>
      <w:pPr/>
      <w:r>
        <w:rPr/>
        <w:t xml:space="preserve">Validé par le Groupe Spécialisé le 11/06/2019</w:t>
      </w:r>
    </w:p>
    <w:p>
      <w:pPr/>
      <w:r>
        <w:rPr>
          <w:b/>
          <w:bCs/>
        </w:rPr>
        <w:t xml:space="preserve">Description</w:t>
      </w:r>
    </w:p>
    <w:p>
      <w:pPr/>
      <w:r>
        <w:rPr/>
        <w:t xml:space="preserve">Les essais acoustiques de plus de 10 ans à la date de passage en GS du dossier ne sont pas acceptés hormis si les éléments de preuve démontrant la conservation des performances des éléments du système sont apportés (module dynamique de la plaque).</w:t>
      </w:r>
    </w:p>
    <w:p>
      <w:pPr/>
      <w:r>
        <w:rPr>
          <w:rStyle w:val="font_h1"/>
        </w:rPr>
        <w:t xml:space="preserve">6. Mise en oeuvre - Contrôles</w:t>
      </w:r>
    </w:p>
    <w:p>
      <w:pPr>
        <w:ind w:left="720" w:right="0"/>
      </w:pPr>
      <w:r>
        <w:rPr>
          <w:rStyle w:val="font_h2"/>
        </w:rPr>
        <w:t xml:space="preserve">6.1. Généralités</w:t>
      </w:r>
    </w:p>
    <w:p>
      <w:pPr/>
      <w:r>
        <w:rPr/>
        <w:t xml:space="preserve">Validé par le Groupe Spécialisé le 21/11/2016</w:t>
      </w:r>
    </w:p>
    <w:p>
      <w:pPr/>
      <w:r>
        <w:rPr>
          <w:b/>
          <w:bCs/>
        </w:rPr>
        <w:t xml:space="preserve">Description</w:t>
      </w:r>
    </w:p>
    <w:p>
      <w:pPr/>
      <w:r>
        <w:rPr/>
        <w:t xml:space="preserve">cf. § 5.1 du guide cloisons séparatives</w:t>
      </w:r>
    </w:p>
    <w:p>
      <w:pPr/>
      <w:r>
        <w:rPr>
          <w:rStyle w:val="font_h1"/>
        </w:rPr>
        <w:t xml:space="preserve">7. Entretien</w:t>
      </w:r>
    </w:p>
    <w:p>
      <w:pPr>
        <w:ind w:left="720" w:right="0"/>
      </w:pPr>
      <w:r>
        <w:rPr>
          <w:rStyle w:val="font_h2"/>
        </w:rPr>
        <w:t xml:space="preserve">7.1. Généralités</w:t>
      </w:r>
    </w:p>
    <w:p>
      <w:pPr/>
      <w:r>
        <w:rPr/>
        <w:t xml:space="preserve">Validé par le Groupe Spécialisé le 21/11/2016</w:t>
      </w:r>
    </w:p>
    <w:p>
      <w:pPr/>
      <w:r>
        <w:rPr>
          <w:b/>
          <w:bCs/>
        </w:rPr>
        <w:t xml:space="preserve">Description</w:t>
      </w:r>
    </w:p>
    <w:p>
      <w:pPr/>
      <w:r>
        <w:rPr/>
        <w:t xml:space="preserve">cf. § 5.2 du guide cloisons séparatives</w:t>
      </w:r>
    </w:p>
    <w:p>
      <w:pPr/>
      <w:r>
        <w:rPr>
          <w:rStyle w:val="font_h1"/>
        </w:rPr>
        <w:t xml:space="preserve">8. Rôle des intervenants</w:t>
      </w:r>
    </w:p>
    <w:p>
      <w:pPr/>
      <w:r>
        <w:rPr>
          <w:rStyle w:val="font_h1"/>
        </w:rPr>
        <w:t xml:space="preserve">9. Assistance Technique</w:t>
      </w:r>
    </w:p>
    <w:p>
      <w:pPr>
        <w:ind w:left="720" w:right="0"/>
      </w:pPr>
      <w:r>
        <w:rPr>
          <w:rStyle w:val="font_h2"/>
        </w:rPr>
        <w:t xml:space="preserve">9.1. généralités</w:t>
      </w:r>
    </w:p>
    <w:p>
      <w:pPr/>
      <w:r>
        <w:rPr/>
        <w:t xml:space="preserve">Validé par le Groupe Spécialisé le 21/11/2016</w:t>
      </w:r>
    </w:p>
    <w:p>
      <w:pPr/>
      <w:r>
        <w:rPr>
          <w:b/>
          <w:bCs/>
        </w:rPr>
        <w:t xml:space="preserve">Description</w:t>
      </w:r>
    </w:p>
    <w:p>
      <w:pPr/>
      <w:r>
        <w:rPr/>
        <w:t xml:space="preserve">cf. § 5.5 du guide cloisons séparatives</w:t>
      </w:r>
    </w:p>
    <w:p>
      <w:pPr/>
      <w:r>
        <w:rPr>
          <w:rStyle w:val="font_h1"/>
        </w:rPr>
        <w:t xml:space="preserve">10. Résultats expérimentaux</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84F52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2026-06-01T12:50:11+02:00</dcterms:created>
  <dcterms:modified xsi:type="dcterms:W3CDTF">2026-06-01T12:50:11+02:00</dcterms:modified>
</cp:coreProperties>
</file>

<file path=docProps/custom.xml><?xml version="1.0" encoding="utf-8"?>
<Properties xmlns="http://schemas.openxmlformats.org/officeDocument/2006/custom-properties" xmlns:vt="http://schemas.openxmlformats.org/officeDocument/2006/docPropsVTypes"/>
</file>