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Doublage de mur</w:t>
      </w:r>
    </w:p>
    <w:p>
      <w:pPr/>
      <w:r>
        <w:rPr>
          <w:rStyle w:val="font_h1"/>
        </w:rPr>
        <w:t xml:space="preserve">1. Principe</w:t>
      </w:r>
    </w:p>
    <w:p>
      <w:pPr/>
      <w:r>
        <w:rPr>
          <w:rStyle w:val="font_h1"/>
        </w:rPr>
        <w:t xml:space="preserve">2. Domaine d'emploi</w:t>
      </w:r>
    </w:p>
    <w:p>
      <w:pPr/>
      <w:r>
        <w:rPr/>
        <w:t xml:space="preserve">Validé par le Groupe Spécialisé le 12/07/2018</w:t>
      </w:r>
    </w:p>
    <w:p>
      <w:pPr/>
      <w:r>
        <w:rPr>
          <w:b/>
          <w:bCs/>
        </w:rPr>
        <w:t xml:space="preserve">Description</w:t>
      </w:r>
    </w:p>
    <w:p>
      <w:pPr/>
      <w:r>
        <w:rPr/>
        <w:t xml:space="preserve">Emploi pour lequel est demandé l’Avis en précisantnotamment :</w:t>
      </w:r>
    </w:p>
    <w:p>
      <w:pPr>
        <w:pPr/>
        <w:numPr>
          <w:ilvl w:val="0"/>
          <w:numId w:val="9"/>
        </w:numPr>
      </w:pPr>
      <w:r>
        <w:rPr/>
        <w:t xml:space="preserve">le type d’ouvrage,</w:t>
      </w:r>
    </w:p>
    <w:p>
      <w:pPr>
        <w:pPr/>
        <w:numPr>
          <w:ilvl w:val="0"/>
          <w:numId w:val="9"/>
        </w:numPr>
      </w:pPr>
      <w:r>
        <w:rPr/>
        <w:t xml:space="preserve">le type de bâtiment (habitation collective ou individuelle, ERP, bureaux, code du travail …), </w:t>
      </w:r>
    </w:p>
    <w:p>
      <w:pPr>
        <w:pPr/>
        <w:numPr>
          <w:ilvl w:val="0"/>
          <w:numId w:val="9"/>
        </w:numPr>
      </w:pPr>
      <w:r>
        <w:rPr/>
        <w:t xml:space="preserve">les types de locaux en se basant sur le document « classement des locaux en fonction de l’exposition à l’humidité des parois,</w:t>
      </w:r>
    </w:p>
    <w:p>
      <w:pPr>
        <w:pPr/>
        <w:numPr>
          <w:ilvl w:val="0"/>
          <w:numId w:val="9"/>
        </w:numPr>
      </w:pPr>
      <w:r>
        <w:rPr/>
        <w:t xml:space="preserve">e-cahier n°3567 du CSTB,</w:t>
      </w:r>
    </w:p>
    <w:p>
      <w:pPr>
        <w:pPr/>
        <w:numPr>
          <w:ilvl w:val="0"/>
          <w:numId w:val="9"/>
        </w:numPr>
      </w:pPr>
      <w:r>
        <w:rPr/>
        <w:t xml:space="preserve">les situations de projets sismiques visés.</w:t>
      </w:r>
    </w:p>
    <w:p>
      <w:pPr/>
      <w:r>
        <w:rPr>
          <w:b/>
          <w:bCs/>
        </w:rPr>
        <w:t xml:space="preserve">Justification</w:t>
      </w:r>
    </w:p>
    <w:p>
      <w:pPr/>
      <w:r>
        <w:rPr/>
        <w:t xml:space="preserve">Les caractéristiques d’isolation thermique de l’ouvrage devront être justifiées par essai ou par calcul selon la réglementation thermique en vigueur.Dans l’hypothèse où le procédé ne présenterait aucune particularité d’un point de vu thermique (configuration créant des ponts thermiques au sein du doublage, utilisation de matériaux présentant des performances thermiques inconnues...), la justification pourra être apportée de manière conventionnelle par l’utilisation des règles ThBat.Certificat ACERMI</w:t>
      </w:r>
    </w:p>
    <w:p>
      <w:pPr/>
      <w:r>
        <w:rPr>
          <w:rStyle w:val="font_h1"/>
        </w:rPr>
        <w:t xml:space="preserve">3. Matériaux</w:t>
      </w:r>
    </w:p>
    <w:p>
      <w:pPr>
        <w:ind w:left="720" w:right="0"/>
      </w:pPr>
      <w:r>
        <w:rPr>
          <w:rStyle w:val="font_h2"/>
        </w:rPr>
        <w:t xml:space="preserve">3.1. Généralité</w:t>
      </w:r>
    </w:p>
    <w:p>
      <w:pPr/>
      <w:r>
        <w:rPr/>
        <w:t xml:space="preserve">Validé par le Groupe Spécialisé le 12/07/2018</w:t>
      </w:r>
    </w:p>
    <w:p>
      <w:pPr/>
      <w:r>
        <w:rPr>
          <w:b/>
          <w:bCs/>
        </w:rPr>
        <w:t xml:space="preserve">Description</w:t>
      </w:r>
    </w:p>
    <w:p>
      <w:pPr/>
      <w:r>
        <w:rPr/>
        <w:t xml:space="preserve">Ensemble des matériaux/composants/accessoires à décrire avec caractéristiques dimensionnelles, mécaniques, norme de référence, certification éventuelle…</w:t>
      </w:r>
    </w:p>
    <w:p>
      <w:pPr/>
      <w:r>
        <w:rPr>
          <w:b/>
          <w:bCs/>
        </w:rPr>
        <w:t xml:space="preserve">Justification</w:t>
      </w:r>
    </w:p>
    <w:p>
      <w:pPr/>
      <w:r>
        <w:rPr/>
        <w:t xml:space="preserve">Essais de caractérisation des matériaux</w:t>
      </w:r>
    </w:p>
    <w:p>
      <w:pPr/>
      <w:r>
        <w:rPr>
          <w:b/>
          <w:bCs/>
        </w:rPr>
        <w:t xml:space="preserve">Critères d'évaluation</w:t>
      </w:r>
    </w:p>
    <w:p>
      <w:pPr/>
      <w:r>
        <w:rPr/>
        <w:t xml:space="preserve">§3 et §4 de la 1ère partie du Guide Technique Spécialisé "Cloisons distributives et doublages de murs" - Cahier 3750</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ind w:left="720" w:right="0"/>
      </w:pPr>
      <w:r>
        <w:rPr>
          <w:rStyle w:val="font_h2"/>
        </w:rPr>
        <w:t xml:space="preserve">3.3. Parements</w:t>
      </w:r>
    </w:p>
    <w:p>
      <w:pPr/>
      <w:r>
        <w:rPr/>
        <w:t xml:space="preserve">Validé par le Groupe Spécialisé le 12/07/2018</w:t>
      </w:r>
    </w:p>
    <w:p>
      <w:pPr/>
      <w:r>
        <w:rPr>
          <w:b/>
          <w:bCs/>
        </w:rPr>
        <w:t xml:space="preserve">Description</w:t>
      </w:r>
    </w:p>
    <w:p>
      <w:pPr>
        <w:pPr/>
        <w:numPr>
          <w:ilvl w:val="0"/>
          <w:numId w:val="10"/>
        </w:numPr>
      </w:pPr>
      <w:r>
        <w:rPr/>
        <w:t xml:space="preserve">Définition des matériaux constitutifs ; nature, dimensions, épaisseurs, caractéristiques,</w:t>
      </w:r>
    </w:p>
    <w:p>
      <w:pPr>
        <w:pPr/>
        <w:numPr>
          <w:ilvl w:val="0"/>
          <w:numId w:val="10"/>
        </w:numPr>
      </w:pPr>
      <w:r>
        <w:rPr/>
        <w:t xml:space="preserve">Référence aux normes existantes ou autres documents,</w:t>
      </w:r>
    </w:p>
    <w:p>
      <w:pPr>
        <w:pPr/>
        <w:numPr>
          <w:ilvl w:val="0"/>
          <w:numId w:val="10"/>
        </w:numPr>
      </w:pPr>
      <w:r>
        <w:rPr/>
        <w:t xml:space="preserve">Joindre des croquis côtés.</w:t>
      </w:r>
    </w:p>
    <w:p>
      <w:pPr>
        <w:ind w:left="720" w:right="0"/>
      </w:pPr>
      <w:r>
        <w:rPr>
          <w:rStyle w:val="font_h2"/>
        </w:rPr>
        <w:t xml:space="preserve">3.4. Mortier adhésif</w:t>
      </w:r>
    </w:p>
    <w:p>
      <w:pPr/>
      <w:r>
        <w:rPr/>
        <w:t xml:space="preserve">Validé par le Groupe Spécialisé le 12/07/2018</w:t>
      </w:r>
    </w:p>
    <w:p>
      <w:pPr/>
      <w:r>
        <w:rPr>
          <w:b/>
          <w:bCs/>
        </w:rPr>
        <w:t xml:space="preserve">Description</w:t>
      </w:r>
    </w:p>
    <w:p>
      <w:pPr/>
      <w:r>
        <w:rPr/>
        <w:t xml:space="preserve">Caractéristiques et performances suivant NF EN 14496 et spécifications complémentaires DTU 25.42 en cas de doublage collé</w:t>
      </w:r>
    </w:p>
    <w:p>
      <w:pPr>
        <w:ind w:left="720" w:right="0"/>
      </w:pPr>
      <w:r>
        <w:rPr>
          <w:rStyle w:val="font_h2"/>
        </w:rPr>
        <w:t xml:space="preserve">3.5. Matériaux de jointoiement ou de liaison suivant NF EN 13963</w:t>
      </w:r>
    </w:p>
    <w:p>
      <w:pPr/>
      <w:r>
        <w:rPr/>
        <w:t xml:space="preserve">Validé par le Groupe Spécialisé le 12/07/2018</w:t>
      </w:r>
    </w:p>
    <w:p>
      <w:pPr/>
      <w:r>
        <w:rPr>
          <w:b/>
          <w:bCs/>
        </w:rPr>
        <w:t xml:space="preserve">Description</w:t>
      </w:r>
    </w:p>
    <w:p>
      <w:pPr>
        <w:pPr/>
        <w:numPr>
          <w:ilvl w:val="0"/>
          <w:numId w:val="11"/>
        </w:numPr>
      </w:pPr>
      <w:r>
        <w:rPr/>
        <w:t xml:space="preserve">Définition des produits : nature, composition, caractéristiques,</w:t>
      </w:r>
    </w:p>
    <w:p>
      <w:pPr>
        <w:pPr/>
        <w:numPr>
          <w:ilvl w:val="0"/>
          <w:numId w:val="11"/>
        </w:numPr>
      </w:pPr>
      <w:r>
        <w:rPr/>
        <w:t xml:space="preserve">Référence aux normes existantes ou autres documents</w:t>
      </w:r>
    </w:p>
    <w:p>
      <w:pPr>
        <w:ind w:left="720" w:right="0"/>
      </w:pPr>
      <w:r>
        <w:rPr>
          <w:rStyle w:val="font_h2"/>
        </w:rPr>
        <w:t xml:space="preserve">3.6. Fixations</w:t>
      </w:r>
    </w:p>
    <w:p>
      <w:pPr/>
      <w:r>
        <w:rPr/>
        <w:t xml:space="preserve">Validé par le Groupe Spécialisé le 12/07/2018</w:t>
      </w:r>
    </w:p>
    <w:p>
      <w:pPr/>
      <w:r>
        <w:rPr>
          <w:b/>
          <w:bCs/>
        </w:rPr>
        <w:t xml:space="preserve">Description</w:t>
      </w:r>
    </w:p>
    <w:p>
      <w:pPr>
        <w:pPr/>
        <w:numPr>
          <w:ilvl w:val="0"/>
          <w:numId w:val="12"/>
        </w:numPr>
      </w:pPr>
      <w:r>
        <w:rPr/>
        <w:t xml:space="preserve">Définition des produits : nature, composition, caractéristiques,</w:t>
      </w:r>
    </w:p>
    <w:p>
      <w:pPr>
        <w:pPr/>
        <w:numPr>
          <w:ilvl w:val="0"/>
          <w:numId w:val="12"/>
        </w:numPr>
      </w:pPr>
      <w:r>
        <w:rPr/>
        <w:t xml:space="preserve">Référence aux normes existantes ou autres documents.</w:t>
      </w:r>
    </w:p>
    <w:p>
      <w:pPr>
        <w:ind w:left="720" w:right="0"/>
      </w:pPr>
      <w:r>
        <w:rPr>
          <w:rStyle w:val="font_h2"/>
        </w:rPr>
        <w:t xml:space="preserve">3.7. Autres produits ou accessoires utilisés pour la mise en œuvre</w:t>
      </w:r>
    </w:p>
    <w:p>
      <w:pPr>
        <w:ind w:left="720" w:right="0"/>
      </w:pPr>
      <w:r>
        <w:rPr>
          <w:rStyle w:val="font_h2"/>
        </w:rPr>
        <w:t xml:space="preserve">3.8. Finitions</w:t>
      </w:r>
    </w:p>
    <w:p>
      <w:pPr/>
      <w:r>
        <w:rPr/>
        <w:t xml:space="preserve">Validé par le Groupe Spécialisé le 12/07/2018</w:t>
      </w:r>
    </w:p>
    <w:p>
      <w:pPr/>
      <w:r>
        <w:rPr>
          <w:b/>
          <w:bCs/>
        </w:rPr>
        <w:t xml:space="preserve">Description</w:t>
      </w:r>
    </w:p>
    <w:p>
      <w:pPr>
        <w:pPr/>
        <w:numPr>
          <w:ilvl w:val="0"/>
          <w:numId w:val="13"/>
        </w:numPr>
      </w:pPr>
      <w:r>
        <w:rPr/>
        <w:t xml:space="preserve">Définition des produits : nature, composition, caractéristiques,</w:t>
      </w:r>
    </w:p>
    <w:p>
      <w:pPr>
        <w:pPr/>
        <w:numPr>
          <w:ilvl w:val="0"/>
          <w:numId w:val="13"/>
        </w:numPr>
      </w:pPr>
      <w:r>
        <w:rPr/>
        <w:t xml:space="preserve">Référence aux normes existantes ou autres documents.</w:t>
      </w:r>
    </w:p>
    <w:p>
      <w:pPr/>
      <w:r>
        <w:rPr>
          <w:rStyle w:val="font_h1"/>
        </w:rPr>
        <w:t xml:space="preserve">4. Fabrication - contrôles</w:t>
      </w:r>
    </w:p>
    <w:p>
      <w:pPr>
        <w:ind w:left="720" w:right="0"/>
      </w:pPr>
      <w:r>
        <w:rPr>
          <w:rStyle w:val="font_h2"/>
        </w:rPr>
        <w:t xml:space="preserve">4.1. Fabrication</w:t>
      </w:r>
    </w:p>
    <w:p>
      <w:pPr/>
      <w:r>
        <w:rPr/>
        <w:t xml:space="preserve">Validé par le Groupe Spécialisé le 12/07/2018</w:t>
      </w:r>
    </w:p>
    <w:p>
      <w:pPr/>
      <w:r>
        <w:rPr>
          <w:b/>
          <w:bCs/>
        </w:rPr>
        <w:t xml:space="preserve">Description</w:t>
      </w:r>
    </w:p>
    <w:p>
      <w:pPr>
        <w:pPr/>
        <w:numPr>
          <w:ilvl w:val="0"/>
          <w:numId w:val="14"/>
        </w:numPr>
      </w:pPr>
      <w:r>
        <w:rPr/>
        <w:t xml:space="preserve">le processus de fabrication depuis et la réception des matières premières jusqu'au produit fini. Préciser les machines et l’outillage utilisé,</w:t>
      </w:r>
    </w:p>
    <w:p>
      <w:pPr>
        <w:pPr/>
        <w:numPr>
          <w:ilvl w:val="0"/>
          <w:numId w:val="14"/>
        </w:numPr>
      </w:pPr>
      <w:r>
        <w:rPr/>
        <w:t xml:space="preserve">le stockage sera également abordé, ainsi que le conditionnement,</w:t>
      </w:r>
    </w:p>
    <w:p>
      <w:pPr>
        <w:pPr/>
        <w:numPr>
          <w:ilvl w:val="0"/>
          <w:numId w:val="14"/>
        </w:numPr>
      </w:pPr>
      <w:r>
        <w:rPr/>
        <w:t xml:space="preserve">les conditions de transport spécifiques des produits,</w:t>
      </w:r>
    </w:p>
    <w:p>
      <w:pPr>
        <w:ind w:left="720" w:right="0"/>
      </w:pPr>
      <w:r>
        <w:rPr>
          <w:rStyle w:val="font_h2"/>
        </w:rPr>
        <w:t xml:space="preserve">4.2. Contrôles</w:t>
      </w:r>
    </w:p>
    <w:p>
      <w:pPr/>
      <w:r>
        <w:rPr/>
        <w:t xml:space="preserve">Validé par le Groupe Spécialisé le 12/07/2018</w:t>
      </w:r>
    </w:p>
    <w:p>
      <w:pPr/>
      <w:r>
        <w:rPr>
          <w:b/>
          <w:bCs/>
        </w:rPr>
        <w:t xml:space="preserve">Description</w:t>
      </w:r>
    </w:p>
    <w:p>
      <w:pPr>
        <w:pPr/>
        <w:numPr>
          <w:ilvl w:val="0"/>
          <w:numId w:val="15"/>
        </w:numPr>
      </w:pPr>
      <w:r>
        <w:rPr/>
        <w:t xml:space="preserve">Les contrôles réalisés sur les produits à réception, en cours de fabrication et sur produits finis. Les méthodes de contrôles seront précisées ainsi que les seuils mini maxi et les tolérances,</w:t>
      </w:r>
    </w:p>
    <w:p>
      <w:pPr>
        <w:pPr/>
        <w:numPr>
          <w:ilvl w:val="0"/>
          <w:numId w:val="15"/>
        </w:numPr>
      </w:pPr>
      <w:r>
        <w:rPr/>
        <w:t xml:space="preserve">L’enregistrement des informations.</w:t>
      </w:r>
    </w:p>
    <w:p>
      <w:pPr>
        <w:ind w:left="720" w:right="0"/>
      </w:pPr>
      <w:r>
        <w:rPr>
          <w:rStyle w:val="font_h2"/>
        </w:rPr>
        <w:t xml:space="preserve">4.3.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5.2. Adhérence/collage</w:t>
      </w:r>
    </w:p>
    <w:p>
      <w:pPr>
        <w:ind w:left="720" w:right="0"/>
      </w:pPr>
      <w:r>
        <w:rPr>
          <w:rStyle w:val="font_h2"/>
        </w:rPr>
        <w:t xml:space="preserve">5.2. Résistance mécanique</w:t>
      </w:r>
    </w:p>
    <w:p>
      <w:pPr/>
      <w:r>
        <w:rPr/>
        <w:t xml:space="preserve">Validé par le Groupe Spécialisé le 12/07/2018</w:t>
      </w:r>
    </w:p>
    <w:p>
      <w:pPr/>
      <w:r>
        <w:rPr>
          <w:b/>
          <w:bCs/>
        </w:rPr>
        <w:t xml:space="preserve">Description</w:t>
      </w:r>
    </w:p>
    <w:p>
      <w:pPr/>
      <w:r>
        <w:rPr/>
        <w:t xml:space="preserve">Justification tenue et résistance mécanique par essais de chocs et essais d'accrochage de fixations : Voir guide 3750 partie 2 §2.22 et 2.23.</w:t>
      </w:r>
    </w:p>
    <w:p>
      <w:pPr/>
      <w:r>
        <w:rPr>
          <w:b/>
          <w:bCs/>
        </w:rPr>
        <w:t xml:space="preserve">Justification</w:t>
      </w:r>
    </w:p>
    <w:p>
      <w:pPr/>
      <w:r>
        <w:rPr/>
        <w:t xml:space="preserve">Justification de la résistance de doublage aux sollicitations suivantes (cf. guide cloison distributive et doublage de mur - cahier 3750) :</w:t>
      </w:r>
    </w:p>
    <w:p>
      <w:pPr>
        <w:pPr/>
        <w:numPr>
          <w:ilvl w:val="0"/>
          <w:numId w:val="16"/>
        </w:numPr>
      </w:pPr>
      <w:r>
        <w:rPr/>
        <w:t xml:space="preserve">Choc de corps mou ;</w:t>
      </w:r>
    </w:p>
    <w:p>
      <w:pPr>
        <w:pPr/>
        <w:numPr>
          <w:ilvl w:val="0"/>
          <w:numId w:val="16"/>
        </w:numPr>
      </w:pPr>
      <w:r>
        <w:rPr/>
        <w:t xml:space="preserve">Choc de corps dur simulant l’impact d’un objet ;</w:t>
      </w:r>
    </w:p>
    <w:p>
      <w:pPr>
        <w:pPr/>
        <w:numPr>
          <w:ilvl w:val="0"/>
          <w:numId w:val="16"/>
        </w:numPr>
      </w:pPr>
      <w:r>
        <w:rPr/>
        <w:t xml:space="preserve">Essai d'accrochage-fixations.-...</w:t>
      </w:r>
    </w:p>
    <w:p>
      <w:pPr>
        <w:ind w:left="720" w:right="0"/>
      </w:pPr>
      <w:r>
        <w:rPr>
          <w:rStyle w:val="font_h2"/>
        </w:rPr>
        <w:t xml:space="preserve">5.3.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œuvre - Contrôles</w:t>
      </w:r>
    </w:p>
    <w:p>
      <w:pPr>
        <w:ind w:left="720" w:right="0"/>
      </w:pPr>
      <w:r>
        <w:rPr>
          <w:rStyle w:val="font_h2"/>
        </w:rPr>
        <w:t xml:space="preserve">6.1. Mise en oeuvre</w:t>
      </w:r>
    </w:p>
    <w:p>
      <w:pPr>
        <w:ind w:left="720" w:right="0"/>
      </w:pPr>
      <w:r>
        <w:rPr>
          <w:rStyle w:val="font_h2"/>
        </w:rPr>
        <w:t xml:space="preserve">6.2. Contrôles</w:t>
      </w:r>
    </w:p>
    <w:p>
      <w:pPr/>
      <w:r>
        <w:rPr>
          <w:rStyle w:val="font_h1"/>
        </w:rPr>
        <w:t xml:space="preserve">7. Entretien</w:t>
      </w:r>
    </w:p>
    <w:p>
      <w:pPr/>
      <w:r>
        <w:rPr>
          <w:rStyle w:val="font_h1"/>
        </w:rPr>
        <w:t xml:space="preserve">8. Rôle des intervenants</w:t>
      </w:r>
    </w:p>
    <w:p>
      <w:pPr/>
      <w:r>
        <w:rPr>
          <w:rStyle w:val="font_h1"/>
        </w:rPr>
        <w:t xml:space="preserve">9. Assistance technique</w:t>
      </w:r>
    </w:p>
    <w:p>
      <w:pPr/>
      <w:r>
        <w:rPr>
          <w:rStyle w:val="font_h1"/>
        </w:rPr>
        <w:t xml:space="preserve">10. Résultats expérimentaux</w:t>
      </w:r>
    </w:p>
    <w:p>
      <w:pPr>
        <w:ind w:left="720" w:right="0"/>
      </w:pPr>
      <w:r>
        <w:rPr>
          <w:rStyle w:val="font_h2"/>
        </w:rPr>
        <w:t xml:space="preserve">10.1. Stabilité et résistance mécanique</w:t>
      </w:r>
    </w:p>
    <w:p>
      <w:pPr>
        <w:ind w:left="720" w:right="0"/>
      </w:pPr>
      <w:r>
        <w:rPr>
          <w:rStyle w:val="font_h2"/>
        </w:rPr>
        <w:t xml:space="preserve">10.2. Feu</w:t>
      </w:r>
    </w:p>
    <w:p>
      <w:pPr>
        <w:ind w:left="720" w:right="0"/>
      </w:pPr>
      <w:r>
        <w:rPr>
          <w:rStyle w:val="font_h2"/>
        </w:rPr>
        <w:t xml:space="preserve">10.3. Acoustique / Thermique</w:t>
      </w:r>
    </w:p>
    <w:p>
      <w:pPr>
        <w:ind w:left="1440" w:right="0"/>
      </w:pPr>
      <w:r>
        <w:rPr>
          <w:rStyle w:val="font_h3"/>
        </w:rPr>
        <w:t xml:space="preserve">10.3.1. jurisprudence - essais acoustiques</w:t>
      </w:r>
    </w:p>
    <w:p>
      <w:pPr/>
      <w:r>
        <w:rPr/>
        <w:t xml:space="preserve">Validé par le Groupe Spécialisé le 29/11/2018</w:t>
      </w:r>
    </w:p>
    <w:p>
      <w:pPr/>
      <w:r>
        <w:rPr>
          <w:b/>
          <w:bCs/>
        </w:rPr>
        <w:t xml:space="preserve">Description</w:t>
      </w:r>
    </w:p>
    <w:p>
      <w:pPr/>
      <w:r>
        <w:rPr/>
        <w:t xml:space="preserve">Il est possible de mentionner les résultats des essais d’affaiblissement acoustiques dans le dossier technique de l’Avis Technique ou du DTA à l’unique condition qu’un renvoi aux rapports d’essais rappelant le strict respect des éléments testés et des conditions de mise en œuvre lors des essais soit réalisé.</w:t>
      </w:r>
    </w:p>
    <w:p>
      <w:pPr/>
      <w:r>
        <w:rPr>
          <w:rStyle w:val="font_h1"/>
        </w:rPr>
        <w:t xml:space="preserve">11. Références</w:t>
      </w:r>
    </w:p>
    <w:p>
      <w:pPr>
        <w:ind w:left="720" w:right="0"/>
      </w:pPr>
      <w:r>
        <w:rPr>
          <w:rStyle w:val="font_h2"/>
        </w:rPr>
        <w:t xml:space="preserve">11.1. Données environnementales</w:t>
      </w:r>
    </w:p>
    <w:p>
      <w:pPr>
        <w:ind w:left="720" w:right="0"/>
      </w:pPr>
      <w:r>
        <w:rPr>
          <w:rStyle w:val="font_h2"/>
        </w:rPr>
        <w:t xml:space="preserve">11.2. Autres références</w:t>
      </w:r>
    </w:p>
    <w:p>
      <w:pPr/>
      <w:r>
        <w:rPr>
          <w:rStyle w:val="font_h1"/>
        </w:rPr>
        <w:t xml:space="preserve">12. Annexes</w:t>
      </w:r>
    </w:p>
    <w:p>
      <w:pPr>
        <w:ind w:left="720" w:right="0"/>
      </w:pPr>
      <w:r>
        <w:rPr>
          <w:rStyle w:val="font_h2"/>
        </w:rPr>
        <w:t xml:space="preserve">12.1.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0AEB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E8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9DC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28F5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C455E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0623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825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A065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2026-07-17T01:37:10+02:00</dcterms:created>
  <dcterms:modified xsi:type="dcterms:W3CDTF">2026-07-17T01:37:10+02:00</dcterms:modified>
</cp:coreProperties>
</file>

<file path=docProps/custom.xml><?xml version="1.0" encoding="utf-8"?>
<Properties xmlns="http://schemas.openxmlformats.org/officeDocument/2006/custom-properties" xmlns:vt="http://schemas.openxmlformats.org/officeDocument/2006/docPropsVTypes"/>
</file>