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09 - Édité le 19/04/2024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09 « Cloisons, doublages et plafonds »</w:t>
      </w:r>
    </w:p>
    <w:p>
      <w:pPr/>
      <w:r>
        <w:rPr>
          <w:rStyle w:val="font_default"/>
        </w:rPr>
        <w:t xml:space="preserve">Famille de produits ou procédés : </w:t>
      </w:r>
      <w:r>
        <w:rPr>
          <w:rStyle w:val="font_h3"/>
        </w:rPr>
        <w:t xml:space="preserve">Plafond réversible</w:t>
      </w:r>
    </w:p>
    <w:p>
      <w:pPr/>
      <w:r>
        <w:rPr>
          <w:rStyle w:val="font_h1"/>
        </w:rPr>
        <w:t xml:space="preserve">1. Principe</w:t>
      </w:r>
    </w:p>
    <w:p>
      <w:pPr>
        <w:ind w:left="720" w:right="0"/>
      </w:pPr>
      <w:r>
        <w:rPr>
          <w:rStyle w:val="font_h2"/>
        </w:rPr>
        <w:t xml:space="preserve">1.1. Généralités</w:t>
      </w:r>
    </w:p>
    <w:p>
      <w:pPr/>
      <w:r>
        <w:rPr>
          <w:rStyle w:val="font_h1"/>
        </w:rPr>
        <w:t xml:space="preserve">2. Domaine d'emploi</w:t>
      </w:r>
    </w:p>
    <w:p>
      <w:pPr/>
      <w:r>
        <w:rPr>
          <w:rStyle w:val="font_h1"/>
        </w:rPr>
        <w:t xml:space="preserve">3. Matériaux</w:t>
      </w:r>
    </w:p>
    <w:p>
      <w:pPr>
        <w:ind w:left="720" w:right="0"/>
      </w:pPr>
      <w:r>
        <w:rPr>
          <w:rStyle w:val="font_h2"/>
        </w:rPr>
        <w:t xml:space="preserve">3.1. Généralité</w:t>
      </w:r>
    </w:p>
    <w:p>
      <w:pPr>
        <w:ind w:left="1440" w:right="0"/>
      </w:pPr>
      <w:r>
        <w:rPr>
          <w:rStyle w:val="font_h3"/>
        </w:rPr>
        <w:t xml:space="preserve">3.1.1. Moisissures - jurisprudence</w:t>
      </w:r>
    </w:p>
    <w:p>
      <w:pPr>
        <w:ind w:left="720" w:right="0"/>
      </w:pPr>
      <w:r>
        <w:rPr>
          <w:rStyle w:val="font_h2"/>
        </w:rPr>
        <w:t xml:space="preserve">3.2. Parements</w:t>
      </w:r>
    </w:p>
    <w:p>
      <w:pPr>
        <w:ind w:left="720" w:right="0"/>
      </w:pPr>
      <w:r>
        <w:rPr>
          <w:rStyle w:val="font_h2"/>
        </w:rPr>
        <w:t xml:space="preserve">3.3. Ossatures et accessoires de plafond</w:t>
      </w:r>
    </w:p>
    <w:p>
      <w:pPr/>
      <w:r>
        <w:rPr>
          <w:rStyle w:val="font_h1"/>
        </w:rPr>
        <w:t xml:space="preserve">4. Fabrication - contrôles</w:t>
      </w:r>
    </w:p>
    <w:p>
      <w:pPr>
        <w:ind w:left="720" w:right="0"/>
      </w:pPr>
      <w:r>
        <w:rPr>
          <w:rStyle w:val="font_h2"/>
        </w:rPr>
        <w:t xml:space="preserve">4.1. Suivi ou certification des produits par tierce partie</w:t>
      </w:r>
    </w:p>
    <w:p>
      <w:pPr/>
      <w:r>
        <w:rPr/>
        <w:t xml:space="preserve">Validé par le Groupe Spécialisé le 11/06/2019</w:t>
      </w:r>
    </w:p>
    <w:p>
      <w:pPr/>
      <w:r>
        <w:rPr>
          <w:b/>
          <w:bCs/>
        </w:rPr>
        <w:t xml:space="preserve">Description</w:t>
      </w:r>
    </w:p>
    <w:p>
      <w:pPr/>
      <w:r>
        <w:rPr/>
        <w:t xml:space="preserve">Se référer à la jurisprudence "suivi ou certification nécessaire ou non nécessaire des produits contenus dans les systèmes faisant l’objet d’un Avis Technique ou DTA du GS 9" pour connaitre les suivis exigés par le GS9</w:t>
      </w:r>
    </w:p>
    <w:p>
      <w:pPr/>
      <w:r>
        <w:rPr>
          <w:rStyle w:val="font_h1"/>
        </w:rPr>
        <w:t xml:space="preserve">5. Conception - Dimensionnement</w:t>
      </w:r>
    </w:p>
    <w:p>
      <w:pPr>
        <w:ind w:left="720" w:right="0"/>
      </w:pPr>
      <w:r>
        <w:rPr>
          <w:rStyle w:val="font_h2"/>
        </w:rPr>
        <w:t xml:space="preserve">5.1. Généralité</w:t>
      </w:r>
    </w:p>
    <w:p>
      <w:pPr>
        <w:ind w:left="720" w:right="0"/>
      </w:pPr>
      <w:r>
        <w:rPr>
          <w:rStyle w:val="font_h2"/>
        </w:rPr>
        <w:t xml:space="preserve">5.2. Validité des essais acoustiques</w:t>
      </w:r>
    </w:p>
    <w:p>
      <w:pPr/>
      <w:r>
        <w:rPr/>
        <w:t xml:space="preserve">Validé par le Groupe Spécialisé le 11/06/2019</w:t>
      </w:r>
    </w:p>
    <w:p>
      <w:pPr/>
      <w:r>
        <w:rPr>
          <w:b/>
          <w:bCs/>
        </w:rPr>
        <w:t xml:space="preserve">Description</w:t>
      </w:r>
    </w:p>
    <w:p>
      <w:pPr/>
      <w:r>
        <w:rPr/>
        <w:t xml:space="preserve">Les essais acoustiques de plus de 10 ans à la date de passage en GS du dossier ne sont pas acceptés hormis si les éléments de preuve démontrant la conservation des performances des éléments du système sont apportés (module dynamique de la plaque).</w:t>
      </w:r>
    </w:p>
    <w:p>
      <w:pPr/>
      <w:r>
        <w:rPr>
          <w:rStyle w:val="font_h1"/>
        </w:rPr>
        <w:t xml:space="preserve">6. Mise en œuvre - Contrôles</w:t>
      </w:r>
    </w:p>
    <w:p>
      <w:pPr/>
      <w:r>
        <w:rPr>
          <w:rStyle w:val="font_h1"/>
        </w:rPr>
        <w:t xml:space="preserve">7. Entretien</w:t>
      </w:r>
    </w:p>
    <w:p>
      <w:pPr/>
      <w:r>
        <w:rPr>
          <w:rStyle w:val="font_h1"/>
        </w:rPr>
        <w:t xml:space="preserve">8. Rôle des intervenants</w:t>
      </w:r>
    </w:p>
    <w:p>
      <w:pPr/>
      <w:r>
        <w:rPr>
          <w:rStyle w:val="font_h1"/>
        </w:rPr>
        <w:t xml:space="preserve">9. Assistance technique</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2024-04-19T20:18:58+02:00</dcterms:created>
  <dcterms:modified xsi:type="dcterms:W3CDTF">2024-04-19T20:18:58+02:00</dcterms:modified>
</cp:coreProperties>
</file>

<file path=docProps/custom.xml><?xml version="1.0" encoding="utf-8"?>
<Properties xmlns="http://schemas.openxmlformats.org/officeDocument/2006/custom-properties" xmlns:vt="http://schemas.openxmlformats.org/officeDocument/2006/docPropsVTypes"/>
</file>