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font_default"/>
        </w:rPr>
        <w:t xml:space="preserve">Document entériné par le Groupe Spécialisé n° 09 - Édité le 30/10/2026</w:t>
      </w:r>
    </w:p>
    <w:p>
      <w:pPr>
        <w:pStyle w:val="paragraph_centered"/>
      </w:pPr>
      <w:r>
        <w:rPr>
          <w:rStyle w:val="font_h1"/>
        </w:rPr>
        <w:t xml:space="preserve">Liste minimale des éléments habituellement demandés par le Groupe Spécialisé</w:t>
      </w:r>
    </w:p>
    <w:p>
      <w:pPr/>
      <w:r>
        <w:rPr>
          <w:rStyle w:val="font_h2"/>
        </w:rPr>
        <w:t xml:space="preserve">Groupe Spécialisé n° 09 « Cloisons, doublages et plafonds »</w:t>
      </w:r>
    </w:p>
    <w:p>
      <w:pPr/>
      <w:r>
        <w:rPr>
          <w:rStyle w:val="font_default"/>
        </w:rPr>
        <w:t xml:space="preserve">Famille de produits ou procédés : </w:t>
      </w:r>
      <w:r>
        <w:rPr>
          <w:rStyle w:val="font_h3"/>
        </w:rPr>
        <w:t xml:space="preserve">Plafond chauffant électrique</w:t>
      </w:r>
    </w:p>
    <w:p>
      <w:pPr/>
      <w:r>
        <w:rPr>
          <w:rStyle w:val="font_h1"/>
        </w:rPr>
        <w:t xml:space="preserve">1. Principe et description</w:t>
      </w:r>
    </w:p>
    <w:p>
      <w:pPr/>
      <w:r>
        <w:rPr>
          <w:rStyle w:val="font_h1"/>
        </w:rPr>
        <w:t xml:space="preserve">2. Domaine d’emploi</w:t>
      </w:r>
    </w:p>
    <w:p>
      <w:pPr/>
      <w:r>
        <w:rPr>
          <w:rStyle w:val="font_h1"/>
        </w:rPr>
        <w:t xml:space="preserve">3. Eléments constitutifs</w:t>
      </w:r>
    </w:p>
    <w:p>
      <w:pPr>
        <w:ind w:left="720" w:right="0"/>
      </w:pPr>
      <w:r>
        <w:rPr>
          <w:rStyle w:val="font_h2"/>
        </w:rPr>
        <w:t xml:space="preserve">3.1. Panneaux chauffants ou non chauffants et unités chauffantes</w:t>
      </w:r>
    </w:p>
    <w:p>
      <w:pPr>
        <w:ind w:left="720" w:right="0"/>
      </w:pPr>
      <w:r>
        <w:rPr>
          <w:rStyle w:val="font_h2"/>
        </w:rPr>
        <w:t xml:space="preserve">3.2. Matériaux pour la mise en œuvre du plafond</w:t>
      </w:r>
    </w:p>
    <w:p>
      <w:pPr>
        <w:ind w:left="720" w:right="0"/>
      </w:pPr>
      <w:r>
        <w:rPr>
          <w:rStyle w:val="font_h2"/>
        </w:rPr>
        <w:t xml:space="preserve">3.3. Isolant complémentaire</w:t>
      </w:r>
    </w:p>
    <w:p>
      <w:pPr>
        <w:ind w:left="720" w:right="0"/>
      </w:pPr>
      <w:r>
        <w:rPr>
          <w:rStyle w:val="font_h2"/>
        </w:rPr>
        <w:t xml:space="preserve">3.4. Lignes préfabriquées</w:t>
      </w:r>
    </w:p>
    <w:p>
      <w:pPr/>
      <w:r>
        <w:rPr>
          <w:rStyle w:val="font_h1"/>
        </w:rPr>
        <w:t xml:space="preserve">4. Fabrication et contrôles en usine</w:t>
      </w:r>
    </w:p>
    <w:p>
      <w:pPr>
        <w:ind w:left="720" w:right="0"/>
      </w:pPr>
      <w:r>
        <w:rPr>
          <w:rStyle w:val="font_h2"/>
        </w:rPr>
        <w:t xml:space="preserve">4.1. Film chauffant</w:t>
      </w:r>
    </w:p>
    <w:p>
      <w:pPr>
        <w:ind w:left="720" w:right="0"/>
      </w:pPr>
      <w:r>
        <w:rPr>
          <w:rStyle w:val="font_h2"/>
        </w:rPr>
        <w:t xml:space="preserve">4.2. Unité chauffante</w:t>
      </w:r>
    </w:p>
    <w:p>
      <w:pPr>
        <w:ind w:left="720" w:right="0"/>
      </w:pPr>
      <w:r>
        <w:rPr>
          <w:rStyle w:val="font_h2"/>
        </w:rPr>
        <w:t xml:space="preserve">4.3. Panneaux chauffants et panneaux non chauffants</w:t>
      </w:r>
    </w:p>
    <w:p>
      <w:pPr/>
      <w:r>
        <w:rPr>
          <w:rStyle w:val="font_h1"/>
        </w:rPr>
        <w:t xml:space="preserve">5. Mise en œuvre</w:t>
      </w:r>
    </w:p>
    <w:p>
      <w:pPr>
        <w:ind w:left="720" w:right="0"/>
      </w:pPr>
      <w:r>
        <w:rPr>
          <w:rStyle w:val="font_h2"/>
        </w:rPr>
        <w:t xml:space="preserve">5.1. Généralités</w:t>
      </w:r>
    </w:p>
    <w:p>
      <w:pPr>
        <w:ind w:left="720" w:right="0"/>
      </w:pPr>
      <w:r>
        <w:rPr>
          <w:rStyle w:val="font_h2"/>
        </w:rPr>
        <w:t xml:space="preserve">5.2. Conception et dimensionnement</w:t>
      </w:r>
    </w:p>
    <w:p>
      <w:pPr>
        <w:ind w:left="1440" w:right="0"/>
      </w:pPr>
      <w:r>
        <w:rPr>
          <w:rStyle w:val="font_h3"/>
        </w:rPr>
        <w:t xml:space="preserve">5.2.1. Validité des essais acoustiques</w:t>
      </w:r>
    </w:p>
    <w:p>
      <w:pPr/>
      <w:r>
        <w:rPr/>
        <w:t xml:space="preserve">Validé par le Groupe Spécialisé le 11/06/2019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Les essais acoustiques de plus de 10 ans à la date de passage en GS du dossier ne sont pas acceptés hormis si les éléments de preuve démontrant la conservation des performances des éléments du système sont apportés.</w:t>
      </w:r>
    </w:p>
    <w:p>
      <w:pPr>
        <w:ind w:left="720" w:right="0"/>
      </w:pPr>
      <w:r>
        <w:rPr>
          <w:rStyle w:val="font_h2"/>
        </w:rPr>
        <w:t xml:space="preserve">5.3. Mise en œuvre</w:t>
      </w:r>
    </w:p>
    <w:p>
      <w:pPr>
        <w:ind w:left="720" w:right="0"/>
      </w:pPr>
      <w:r>
        <w:rPr>
          <w:rStyle w:val="font_h2"/>
        </w:rPr>
        <w:t xml:space="preserve">5.4. Isolation complémentaire</w:t>
      </w:r>
    </w:p>
    <w:p>
      <w:pPr>
        <w:ind w:left="720" w:right="0"/>
      </w:pPr>
      <w:r>
        <w:rPr>
          <w:rStyle w:val="font_h2"/>
        </w:rPr>
        <w:t xml:space="preserve">5.5. Mise en œuvre des plaques de plâtre</w:t>
      </w:r>
    </w:p>
    <w:p>
      <w:pPr>
        <w:ind w:left="720" w:right="0"/>
      </w:pPr>
      <w:r>
        <w:rPr>
          <w:rStyle w:val="font_h2"/>
        </w:rPr>
        <w:t xml:space="preserve">5.6. Jointoiement</w:t>
      </w:r>
    </w:p>
    <w:p>
      <w:pPr>
        <w:ind w:left="720" w:right="0"/>
      </w:pPr>
      <w:r>
        <w:rPr>
          <w:rStyle w:val="font_h2"/>
        </w:rPr>
        <w:t xml:space="preserve">5.7. Liaison avec les cloisons</w:t>
      </w:r>
    </w:p>
    <w:p>
      <w:pPr>
        <w:ind w:left="720" w:right="0"/>
      </w:pPr>
      <w:r>
        <w:rPr>
          <w:rStyle w:val="font_h2"/>
        </w:rPr>
        <w:t xml:space="preserve">5.8. Joints de fractionnement</w:t>
      </w:r>
    </w:p>
    <w:p>
      <w:pPr>
        <w:ind w:left="720" w:right="0"/>
      </w:pPr>
      <w:r>
        <w:rPr>
          <w:rStyle w:val="font_h2"/>
        </w:rPr>
        <w:t xml:space="preserve">5.9. Raccordement électrique</w:t>
      </w:r>
    </w:p>
    <w:p>
      <w:pPr>
        <w:ind w:left="720" w:right="0"/>
      </w:pPr>
      <w:r>
        <w:rPr>
          <w:rStyle w:val="font_h2"/>
        </w:rPr>
        <w:t xml:space="preserve">5.10. Régulation</w:t>
      </w:r>
    </w:p>
    <w:p>
      <w:pPr/>
      <w:r>
        <w:rPr>
          <w:rStyle w:val="font_h1"/>
        </w:rPr>
        <w:t xml:space="preserve">6. Contrôles sur chantier</w:t>
      </w:r>
    </w:p>
    <w:p>
      <w:pPr>
        <w:ind w:left="720" w:right="0"/>
      </w:pPr>
      <w:r>
        <w:rPr>
          <w:rStyle w:val="font_h2"/>
        </w:rPr>
        <w:t xml:space="preserve">6.1. Coordination entre corps d’état</w:t>
      </w:r>
    </w:p>
    <w:p>
      <w:pPr>
        <w:ind w:left="720" w:right="0"/>
      </w:pPr>
      <w:r>
        <w:rPr>
          <w:rStyle w:val="font_h2"/>
        </w:rPr>
        <w:t xml:space="preserve">6.2. Contrôles physiques des équipements de chauffages</w:t>
      </w:r>
    </w:p>
    <w:p>
      <w:pPr>
        <w:ind w:left="720" w:right="0"/>
      </w:pPr>
      <w:r>
        <w:rPr>
          <w:rStyle w:val="font_h2"/>
        </w:rPr>
        <w:t xml:space="preserve">6.3. Contrôles électriques</w:t>
      </w:r>
    </w:p>
    <w:p>
      <w:pPr>
        <w:ind w:left="720" w:right="0"/>
      </w:pPr>
      <w:r>
        <w:rPr>
          <w:rStyle w:val="font_h2"/>
        </w:rPr>
        <w:t xml:space="preserve">6.4. Contrôle lors de la 1ère mise en chauffe du procédé</w:t>
      </w:r>
    </w:p>
    <w:p>
      <w:pPr/>
      <w:r>
        <w:rPr>
          <w:rStyle w:val="font_h1"/>
        </w:rPr>
        <w:t xml:space="preserve">7. Information des usagers</w:t>
      </w:r>
    </w:p>
    <w:p>
      <w:pPr/>
      <w:r>
        <w:rPr>
          <w:rStyle w:val="font_h1"/>
        </w:rPr>
        <w:t xml:space="preserve">8. Réparation</w:t>
      </w:r>
    </w:p>
    <w:p>
      <w:pPr/>
      <w:r>
        <w:rPr>
          <w:rStyle w:val="font_h1"/>
        </w:rPr>
        <w:t xml:space="preserve">9. Utilisation en zones sismiques</w:t>
      </w:r>
    </w:p>
    <w:p>
      <w:pPr/>
      <w:r>
        <w:rPr>
          <w:rStyle w:val="font_h1"/>
        </w:rPr>
        <w:t xml:space="preserve">10. Assistance technique</w:t>
      </w:r>
    </w:p>
    <w:sectPr>
      <w:headerReference w:type="default" r:id="rId7"/>
      <w:footerReference w:type="default" r:id="rId8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_footer"/>
    </w:pPr>
    <w:r>
      <w:rPr>
        <w:rStyle w:val="font_footer"/>
      </w:rPr>
      <w:t xml:space="preserve">Secrétariat : 84 avenue Jean-Jaurès – Champs-sur-Marne – F-77447 Marne-la-Vallée Cedex 2</w:t>
    </w:r>
    <w:br/>
    <w:r>
      <w:rPr>
        <w:rStyle w:val="font_footer"/>
      </w:rPr>
      <w:t xml:space="preserve">Tel : (33)01.64.68.85.60 - Fax : (33)01.64.68.85.65</w:t>
    </w:r>
    <w:br/>
    <w:r>
      <w:rPr>
        <w:rStyle w:val="font_footer"/>
      </w:rPr>
      <w:t xml:space="preserve">Serveur Internet : http://www.cstb.fr - E-mail : secretariat.at@cstb.fr</w:t>
    </w:r>
    <w:br/>
  </w:p>
  <w:p>
    <w:pPr>
      <w:pStyle w:val="paragraph_footer"/>
    </w:pPr>
    <w:r>
      <w:rPr>
        <w:rStyle w:val="font_footer"/>
      </w:rPr>
      <w:t xml:space="preserve">Page </w:t>
    </w:r>
    <w:r>
      <w:fldChar w:fldCharType="begin"/>
    </w:r>
    <w:r>
      <w:rPr>
        <w:rStyle w:val="font_footer"/>
      </w:rPr>
      <w:instrText xml:space="preserve">PAGE</w:instrText>
    </w:r>
    <w:r>
      <w:fldChar w:fldCharType="separate"/>
    </w:r>
    <w:r>
      <w:fldChar w:fldCharType="end"/>
    </w:r>
    <w:r>
      <w:rPr>
        <w:rStyle w:val="font_footer"/>
      </w:rPr>
      <w:t xml:space="preserve"> sur </w:t>
    </w:r>
    <w:r>
      <w:fldChar w:fldCharType="begin"/>
    </w:r>
    <w:r>
      <w:rPr>
        <w:rStyle w:val="font_footer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</w:p>
  <w:p>
    <w:pPr/>
    <w:r>
      <w:pict>
        <v:shape type="#_x0000_t75" style="width:170pt; height:60pt; margin-left:0pt; margin-top:0pt; mso-position-horizontal:left; mso-position-vertical:top; mso-position-horizontal-relative:char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font_default">
    <w:name w:val="font_default"/>
    <w:basedOn w:val="Normal"/>
    <w:pPr>
      <w:spacing w:line="240" w:lineRule="auto"/>
    </w:pPr>
    <w:rPr>
      <w:rFonts w:ascii="Calibri" w:hAnsi="Calibri" w:eastAsia="Calibri" w:cs="Calibri"/>
      <w:color w:val="000000"/>
      <w:sz w:val="22"/>
      <w:szCs w:val="22"/>
    </w:rPr>
  </w:style>
  <w:style w:type="character">
    <w:name w:val="font_h1"/>
    <w:rPr>
      <w:rFonts w:ascii="Calibri" w:hAnsi="Calibri" w:eastAsia="Calibri" w:cs="Calibri"/>
      <w:color w:val="000000"/>
      <w:sz w:val="28"/>
      <w:szCs w:val="28"/>
      <w:b/>
      <w:bCs/>
    </w:rPr>
  </w:style>
  <w:style w:type="character">
    <w:name w:val="font_h2"/>
    <w:rPr>
      <w:rFonts w:ascii="Calibri" w:hAnsi="Calibri" w:eastAsia="Calibri" w:cs="Calibri"/>
      <w:color w:val="000000"/>
      <w:sz w:val="24"/>
      <w:szCs w:val="24"/>
      <w:b/>
      <w:bCs/>
    </w:rPr>
  </w:style>
  <w:style w:type="character">
    <w:name w:val="font_h3"/>
    <w:rPr>
      <w:rFonts w:ascii="Calibri" w:hAnsi="Calibri" w:eastAsia="Calibri" w:cs="Calibri"/>
      <w:color w:val="000000"/>
      <w:sz w:val="22"/>
      <w:szCs w:val="22"/>
      <w:b/>
      <w:bCs/>
    </w:rPr>
  </w:style>
  <w:style w:type="character">
    <w:name w:val="font_footer"/>
    <w:rPr>
      <w:rFonts w:ascii="Calibri" w:hAnsi="Calibri" w:eastAsia="Calibri" w:cs="Calibri"/>
      <w:color w:val="000000"/>
      <w:sz w:val="20"/>
      <w:szCs w:val="20"/>
    </w:rPr>
  </w:style>
  <w:style w:type="paragraph" w:customStyle="1" w:styleId="paragraph_centered">
    <w:name w:val="paragraph_centered"/>
    <w:basedOn w:val="Normal"/>
    <w:pPr>
      <w:jc w:val="center"/>
    </w:pPr>
  </w:style>
  <w:style w:type="paragraph" w:customStyle="1" w:styleId="paragraph_footer">
    <w:name w:val="paragraph_footer"/>
    <w:basedOn w:val="Normal"/>
    <w:pPr>
      <w:jc w:val="center"/>
      <w:spacing w:after="0" w:line="240" w:lineRule="auto"/>
    </w:pPr>
  </w:style>
  <w:style w:type="table" w:customStyle="1" w:styleId="table">
    <w:name w:val="table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  <w:tblBorders>
        <w:top w:val="single" w:sz="6" w:color="444444"/>
        <w:left w:val="single" w:sz="6" w:color="444444"/>
        <w:right w:val="single" w:sz="6" w:color="444444"/>
        <w:bottom w:val="single" w:sz="6" w:color="444444"/>
        <w:insideH w:val="single" w:sz="6" w:color="444444"/>
        <w:insideV w:val="single" w:sz="6" w:color="444444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2026-10-30T14:54:29+01:00</dcterms:created>
  <dcterms:modified xsi:type="dcterms:W3CDTF">2026-10-30T14:54:29+01:00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