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09 -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09 « Cloisons, doublages et plafonds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Plafond chauffant électrique</w:t>
      </w:r>
    </w:p>
    <w:p>
      <w:pPr/>
      <w:r>
        <w:rPr>
          <w:rStyle w:val="font_h1"/>
        </w:rPr>
        <w:t xml:space="preserve">1. Principe et description</w:t>
      </w:r>
    </w:p>
    <w:p>
      <w:pPr/>
      <w:r>
        <w:rPr>
          <w:rStyle w:val="font_h1"/>
        </w:rPr>
        <w:t xml:space="preserve">2. Domaine d’emploi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Panneaux chauffants ou non chauffants et unités chauffantes</w:t>
      </w:r>
    </w:p>
    <w:p>
      <w:pPr>
        <w:ind w:left="720" w:right="0"/>
      </w:pPr>
      <w:r>
        <w:rPr>
          <w:rStyle w:val="font_h2"/>
        </w:rPr>
        <w:t xml:space="preserve">3.2. Matériaux pour la mise en œuvre du plafond</w:t>
      </w:r>
    </w:p>
    <w:p>
      <w:pPr>
        <w:ind w:left="720" w:right="0"/>
      </w:pPr>
      <w:r>
        <w:rPr>
          <w:rStyle w:val="font_h2"/>
        </w:rPr>
        <w:t xml:space="preserve">3.3. Isolant complémentaire</w:t>
      </w:r>
    </w:p>
    <w:p>
      <w:pPr>
        <w:ind w:left="720" w:right="0"/>
      </w:pPr>
      <w:r>
        <w:rPr>
          <w:rStyle w:val="font_h2"/>
        </w:rPr>
        <w:t xml:space="preserve">3.4. Lignes préfabriquées</w:t>
      </w:r>
    </w:p>
    <w:p>
      <w:pPr/>
      <w:r>
        <w:rPr>
          <w:rStyle w:val="font_h1"/>
        </w:rPr>
        <w:t xml:space="preserve">4. Fabrication et contrôles en usine</w:t>
      </w:r>
    </w:p>
    <w:p>
      <w:pPr>
        <w:ind w:left="720" w:right="0"/>
      </w:pPr>
      <w:r>
        <w:rPr>
          <w:rStyle w:val="font_h2"/>
        </w:rPr>
        <w:t xml:space="preserve">4.1. Film chauffant</w:t>
      </w:r>
    </w:p>
    <w:p>
      <w:pPr>
        <w:ind w:left="720" w:right="0"/>
      </w:pPr>
      <w:r>
        <w:rPr>
          <w:rStyle w:val="font_h2"/>
        </w:rPr>
        <w:t xml:space="preserve">4.2. Unité chauffante</w:t>
      </w:r>
    </w:p>
    <w:p>
      <w:pPr>
        <w:ind w:left="720" w:right="0"/>
      </w:pPr>
      <w:r>
        <w:rPr>
          <w:rStyle w:val="font_h2"/>
        </w:rPr>
        <w:t xml:space="preserve">4.3. Panneaux chauffants et panneaux non chauffants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Conception et dimensionnement</w:t>
      </w:r>
    </w:p>
    <w:p>
      <w:pPr>
        <w:ind w:left="1440" w:right="0"/>
      </w:pPr>
      <w:r>
        <w:rPr>
          <w:rStyle w:val="font_h3"/>
        </w:rPr>
        <w:t xml:space="preserve">5.2.1. Validité des essais acoustiques</w:t>
      </w:r>
    </w:p>
    <w:p>
      <w:pPr/>
      <w:r>
        <w:rPr/>
        <w:t xml:space="preserve">Validé par le Groupe Spécialisé le 11/06/2019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essais acoustiques de plus de 10 ans à la date de passage en GS du dossier ne sont pas acceptés hormis si les éléments de preuve démontrant la conservation des performances des éléments du système sont apportés.</w:t>
      </w:r>
    </w:p>
    <w:p>
      <w:pPr>
        <w:ind w:left="720" w:right="0"/>
      </w:pPr>
      <w:r>
        <w:rPr>
          <w:rStyle w:val="font_h2"/>
        </w:rPr>
        <w:t xml:space="preserve">5.3. Mise en œuvre</w:t>
      </w:r>
    </w:p>
    <w:p>
      <w:pPr>
        <w:ind w:left="720" w:right="0"/>
      </w:pPr>
      <w:r>
        <w:rPr>
          <w:rStyle w:val="font_h2"/>
        </w:rPr>
        <w:t xml:space="preserve">5.4. Isolation complémentaire</w:t>
      </w:r>
    </w:p>
    <w:p>
      <w:pPr>
        <w:ind w:left="720" w:right="0"/>
      </w:pPr>
      <w:r>
        <w:rPr>
          <w:rStyle w:val="font_h2"/>
        </w:rPr>
        <w:t xml:space="preserve">5.5. Mise en œuvre des plaques de plâtre</w:t>
      </w:r>
    </w:p>
    <w:p>
      <w:pPr>
        <w:ind w:left="720" w:right="0"/>
      </w:pPr>
      <w:r>
        <w:rPr>
          <w:rStyle w:val="font_h2"/>
        </w:rPr>
        <w:t xml:space="preserve">5.6. Jointoiement</w:t>
      </w:r>
    </w:p>
    <w:p>
      <w:pPr>
        <w:ind w:left="720" w:right="0"/>
      </w:pPr>
      <w:r>
        <w:rPr>
          <w:rStyle w:val="font_h2"/>
        </w:rPr>
        <w:t xml:space="preserve">5.7. Liaison avec les cloisons</w:t>
      </w:r>
    </w:p>
    <w:p>
      <w:pPr>
        <w:ind w:left="720" w:right="0"/>
      </w:pPr>
      <w:r>
        <w:rPr>
          <w:rStyle w:val="font_h2"/>
        </w:rPr>
        <w:t xml:space="preserve">5.8. Joints de fractionnement</w:t>
      </w:r>
    </w:p>
    <w:p>
      <w:pPr>
        <w:ind w:left="720" w:right="0"/>
      </w:pPr>
      <w:r>
        <w:rPr>
          <w:rStyle w:val="font_h2"/>
        </w:rPr>
        <w:t xml:space="preserve">5.9. Raccordement électrique</w:t>
      </w:r>
    </w:p>
    <w:p>
      <w:pPr>
        <w:ind w:left="720" w:right="0"/>
      </w:pPr>
      <w:r>
        <w:rPr>
          <w:rStyle w:val="font_h2"/>
        </w:rPr>
        <w:t xml:space="preserve">5.10. Régulation</w:t>
      </w:r>
    </w:p>
    <w:p>
      <w:pPr/>
      <w:r>
        <w:rPr>
          <w:rStyle w:val="font_h1"/>
        </w:rPr>
        <w:t xml:space="preserve">6. Contrôles sur chantier</w:t>
      </w:r>
    </w:p>
    <w:p>
      <w:pPr>
        <w:ind w:left="720" w:right="0"/>
      </w:pPr>
      <w:r>
        <w:rPr>
          <w:rStyle w:val="font_h2"/>
        </w:rPr>
        <w:t xml:space="preserve">6.1. Coordination entre corps d’état</w:t>
      </w:r>
    </w:p>
    <w:p>
      <w:pPr>
        <w:ind w:left="720" w:right="0"/>
      </w:pPr>
      <w:r>
        <w:rPr>
          <w:rStyle w:val="font_h2"/>
        </w:rPr>
        <w:t xml:space="preserve">6.2. Contrôles physiques des équipements de chauffages</w:t>
      </w:r>
    </w:p>
    <w:p>
      <w:pPr>
        <w:ind w:left="720" w:right="0"/>
      </w:pPr>
      <w:r>
        <w:rPr>
          <w:rStyle w:val="font_h2"/>
        </w:rPr>
        <w:t xml:space="preserve">6.3. Contrôles électriques</w:t>
      </w:r>
    </w:p>
    <w:p>
      <w:pPr>
        <w:ind w:left="720" w:right="0"/>
      </w:pPr>
      <w:r>
        <w:rPr>
          <w:rStyle w:val="font_h2"/>
        </w:rPr>
        <w:t xml:space="preserve">6.4. Contrôle lors de la 1ère mise en chauffe du procédé</w:t>
      </w:r>
    </w:p>
    <w:p>
      <w:pPr/>
      <w:r>
        <w:rPr>
          <w:rStyle w:val="font_h1"/>
        </w:rPr>
        <w:t xml:space="preserve">7. Information des usagers</w:t>
      </w:r>
    </w:p>
    <w:p>
      <w:pPr/>
      <w:r>
        <w:rPr>
          <w:rStyle w:val="font_h1"/>
        </w:rPr>
        <w:t xml:space="preserve">8. Réparation</w:t>
      </w:r>
    </w:p>
    <w:p>
      <w:pPr/>
      <w:r>
        <w:rPr>
          <w:rStyle w:val="font_h1"/>
        </w:rPr>
        <w:t xml:space="preserve">9. Utilisation en zones sismiques</w:t>
      </w:r>
    </w:p>
    <w:p>
      <w:pPr/>
      <w:r>
        <w:rPr>
          <w:rStyle w:val="font_h1"/>
        </w:rPr>
        <w:t xml:space="preserve">10.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2026-04-17T02:18:48+02:00</dcterms:created>
  <dcterms:modified xsi:type="dcterms:W3CDTF">2026-04-17T02:18:48+02:00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