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rapide</w:t>
      </w:r>
    </w:p>
    <w:p>
      <w:pPr/>
      <w:r>
        <w:rPr>
          <w:rStyle w:val="font_h1"/>
        </w:rPr>
        <w:t xml:space="preserve">1. Description</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2.2. Mise en œuvre en extérieur</w:t>
      </w:r>
    </w:p>
    <w:p>
      <w:pPr/>
      <w:r>
        <w:rPr/>
        <w:t xml:space="preserve">Validé par le Groupe Spécialisé le 17/09/2019</w:t>
      </w:r>
    </w:p>
    <w:p>
      <w:pPr/>
      <w:r>
        <w:rPr>
          <w:b/>
          <w:bCs/>
        </w:rPr>
        <w:t xml:space="preserve">Description</w:t>
      </w:r>
    </w:p>
    <w:p>
      <w:pPr/>
      <w:r>
        <w:rPr/>
        <w:t xml:space="preserve">Suite aux échanges, le Groupe Spécialisé a acté une jurisprudence concernant la réalisation des formes de pente en extérieur. Dorénavant, les formes de pente en intérieur seront réalisées selon les dispositions du NF DTU 26.2 ou à l’aide d’un procédé de chape rapide sous Avis Technique en cours de validité.La réalisation des formes de pente en extérieur sera conditionnée et limitée à l’utilisation d’un procédé de chape rapide sous Avis Technique en cours de validité et visant un emploi en extérieur.</w:t>
      </w:r>
    </w:p>
    <w:p>
      <w:pPr>
        <w:ind w:left="720" w:right="0"/>
      </w:pPr>
      <w:r>
        <w:rPr>
          <w:rStyle w:val="font_h2"/>
        </w:rPr>
        <w:t xml:space="preserve">2.3. Nature des supports</w:t>
      </w:r>
    </w:p>
    <w:p>
      <w:pPr>
        <w:ind w:left="720" w:right="0"/>
      </w:pPr>
      <w:r>
        <w:rPr>
          <w:rStyle w:val="font_h2"/>
        </w:rPr>
        <w:t xml:space="preserve">2.4. Epaisseurs nominales minimales (mm)</w:t>
      </w:r>
    </w:p>
    <w:p>
      <w:pPr/>
      <w:r>
        <w:rPr/>
        <w:t xml:space="preserve">Validé par le Groupe Spécialisé le 05/02/2019</w:t>
      </w:r>
    </w:p>
    <w:p>
      <w:pPr/>
      <w:r>
        <w:rPr>
          <w:b/>
          <w:bCs/>
        </w:rPr>
        <w:t xml:space="preserve">Description</w:t>
      </w:r>
    </w:p>
    <w:p>
      <w:pPr/>
      <w:r>
        <w:rPr/>
        <w:t xml:space="preserve">Le Groupe Spécialisé n° 13 a émis une jurisprudence concernant l’épaisseur minimale des chapes rapides. Dorénavant,  l’épaisseur minimale de la chape en pose désolidarisée ou flottante sera définie en fonction des performances déclarées en flexion de la chape (tableau 2) à savoir :</w:t>
      </w:r>
    </w:p>
    <w:p>
      <w:pPr>
        <w:pPr/>
        <w:numPr>
          <w:ilvl w:val="0"/>
          <w:numId w:val="9"/>
        </w:numPr>
      </w:pPr>
      <w:r>
        <w:rPr/>
        <w:t xml:space="preserve">45 mm sans être ponctuellement inférieure à 40 mm si F ≥ 5 MPa,</w:t>
      </w:r>
    </w:p>
    <w:p>
      <w:pPr>
        <w:pPr/>
        <w:numPr>
          <w:ilvl w:val="0"/>
          <w:numId w:val="9"/>
        </w:numPr>
      </w:pPr>
      <w:r>
        <w:rPr/>
        <w:t xml:space="preserve">35 mm sans être ponctuellement inférieure à 30 mm si F ≥ 6 MPa.</w:t>
      </w:r>
    </w:p>
    <w:p>
      <w:pPr/>
      <w:r>
        <w:rPr>
          <w:rStyle w:val="font_h1"/>
        </w:rPr>
        <w:t xml:space="preserve">3. Matériaux</w:t>
      </w:r>
    </w:p>
    <w:p>
      <w:pPr>
        <w:ind w:left="720" w:right="0"/>
      </w:pPr>
      <w:r>
        <w:rPr>
          <w:rStyle w:val="font_h2"/>
        </w:rPr>
        <w:t xml:space="preserve">3.1. Liant</w:t>
      </w:r>
    </w:p>
    <w:p>
      <w:pPr>
        <w:ind w:left="720" w:right="0"/>
      </w:pPr>
      <w:r>
        <w:rPr>
          <w:rStyle w:val="font_h2"/>
        </w:rPr>
        <w:t xml:space="preserve">3.2. Mortier</w:t>
      </w:r>
    </w:p>
    <w:p>
      <w:pPr>
        <w:ind w:left="720" w:right="0"/>
      </w:pPr>
      <w:r>
        <w:rPr>
          <w:rStyle w:val="font_h2"/>
        </w:rPr>
        <w:t xml:space="preserve">3.3. Conditionnement - stockage</w:t>
      </w:r>
    </w:p>
    <w:p>
      <w:pPr>
        <w:ind w:left="720" w:right="0"/>
      </w:pPr>
      <w:r>
        <w:rPr>
          <w:rStyle w:val="font_h2"/>
        </w:rPr>
        <w:t xml:space="preserve">3.4. Adjuvant</w:t>
      </w:r>
    </w:p>
    <w:p>
      <w:pPr>
        <w:ind w:left="720" w:right="0"/>
      </w:pPr>
      <w:r>
        <w:rPr>
          <w:rStyle w:val="font_h2"/>
        </w:rPr>
        <w:t xml:space="preserve">3.5. Produits associés</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03/02/2022</w:t>
      </w:r>
    </w:p>
    <w:p>
      <w:pPr/>
      <w:r>
        <w:rPr>
          <w:b/>
          <w:bCs/>
        </w:rPr>
        <w:t xml:space="preserve">Description</w:t>
      </w:r>
    </w:p>
    <w:p>
      <w:pPr/>
      <w:r>
        <w:rPr/>
        <w:t xml:space="preserve">Le Groupe Spécialisé n°13 a émis une jurisprudence concernant le mode de production sur chantier.Dorénavant, l’utilisation des pompes à chapes pour la fabrication des procédés dont le temps de prise est inférieur à 1h est exclue.</w:t>
      </w:r>
    </w:p>
    <w:p>
      <w:pPr>
        <w:ind w:left="720" w:right="0"/>
      </w:pPr>
      <w:r>
        <w:rPr>
          <w:rStyle w:val="font_h2"/>
        </w:rPr>
        <w:t xml:space="preserve">4.2. Contrôles</w:t>
      </w:r>
    </w:p>
    <w:p>
      <w:pPr/>
      <w:r>
        <w:rPr>
          <w:rStyle w:val="font_h1"/>
        </w:rPr>
        <w:t xml:space="preserve">5. Mise en oeuvre dans les locaux P4 - P4S</w:t>
      </w:r>
    </w:p>
    <w:p>
      <w:pPr>
        <w:ind w:left="720" w:right="0"/>
      </w:pPr>
      <w:r>
        <w:rPr>
          <w:rStyle w:val="font_h2"/>
        </w:rPr>
        <w:t xml:space="preserve">5.1. Nature du support</w:t>
      </w:r>
    </w:p>
    <w:p>
      <w:pPr>
        <w:ind w:left="720" w:right="0"/>
      </w:pPr>
      <w:r>
        <w:rPr>
          <w:rStyle w:val="font_h2"/>
        </w:rPr>
        <w:t xml:space="preserve">5.2. Travaux préliminaires</w:t>
      </w:r>
    </w:p>
    <w:p>
      <w:pPr>
        <w:ind w:left="1440" w:right="0"/>
      </w:pPr>
      <w:r>
        <w:rPr>
          <w:rStyle w:val="font_h3"/>
        </w:rPr>
        <w:t xml:space="preserve">5.2.1. Planche d'essai in-situ</w:t>
      </w:r>
    </w:p>
    <w:p>
      <w:pPr>
        <w:ind w:left="1440" w:right="0"/>
      </w:pPr>
      <w:r>
        <w:rPr>
          <w:rStyle w:val="font_h3"/>
        </w:rPr>
        <w:t xml:space="preserve">5.2.2. Bande périphérique</w:t>
      </w:r>
    </w:p>
    <w:p>
      <w:pPr>
        <w:ind w:left="1440" w:right="0"/>
      </w:pPr>
      <w:r>
        <w:rPr>
          <w:rStyle w:val="font_h3"/>
        </w:rPr>
        <w:t xml:space="preserve">5.2.3. Cas d'une chape désolidarisée</w:t>
      </w:r>
    </w:p>
    <w:p>
      <w:pPr>
        <w:ind w:left="1440" w:right="0"/>
      </w:pPr>
      <w:r>
        <w:rPr>
          <w:rStyle w:val="font_h3"/>
        </w:rPr>
        <w:t xml:space="preserve">5.2.4. Cas d'une chape adhérente</w:t>
      </w:r>
    </w:p>
    <w:p>
      <w:pPr>
        <w:ind w:left="2160" w:right="0"/>
      </w:pPr>
      <w:r>
        <w:rPr>
          <w:rStyle w:val="font_h3"/>
        </w:rPr>
        <w:t xml:space="preserve">5.2.4.1. Préparation du support</w:t>
      </w:r>
    </w:p>
    <w:p>
      <w:pPr>
        <w:ind w:left="2160" w:right="0"/>
      </w:pPr>
      <w:r>
        <w:rPr>
          <w:rStyle w:val="font_h3"/>
        </w:rPr>
        <w:t xml:space="preserve">5.2.4.2. Application de la barbotine</w:t>
      </w:r>
    </w:p>
    <w:p>
      <w:pPr>
        <w:ind w:left="720" w:right="0"/>
      </w:pPr>
      <w:r>
        <w:rPr>
          <w:rStyle w:val="font_h2"/>
        </w:rPr>
        <w:t xml:space="preserve">5.3. Préparation et mise en oeuvre de la chape</w:t>
      </w:r>
    </w:p>
    <w:p>
      <w:pPr>
        <w:ind w:left="1440" w:right="0"/>
      </w:pPr>
      <w:r>
        <w:rPr>
          <w:rStyle w:val="font_h3"/>
        </w:rPr>
        <w:t xml:space="preserve">5.3.1. Condition d'application</w:t>
      </w:r>
    </w:p>
    <w:p>
      <w:pPr>
        <w:ind w:left="1440" w:right="0"/>
      </w:pPr>
      <w:r>
        <w:rPr>
          <w:rStyle w:val="font_h3"/>
        </w:rPr>
        <w:t xml:space="preserve">5.3.2. Préparation du mélange</w:t>
      </w:r>
    </w:p>
    <w:p>
      <w:pPr>
        <w:ind w:left="1440" w:right="0"/>
      </w:pPr>
      <w:r>
        <w:rPr>
          <w:rStyle w:val="font_h3"/>
        </w:rPr>
        <w:t xml:space="preserve">5.3.3. Mise en oeuvre de la chape</w:t>
      </w:r>
    </w:p>
    <w:p>
      <w:pPr>
        <w:ind w:left="720" w:right="0"/>
      </w:pPr>
      <w:r>
        <w:rPr>
          <w:rStyle w:val="font_h2"/>
        </w:rPr>
        <w:t xml:space="preserve">5.4. Traitement des points singuliers</w:t>
      </w:r>
    </w:p>
    <w:p>
      <w:pPr>
        <w:ind w:left="720" w:right="0"/>
      </w:pPr>
      <w:r>
        <w:rPr>
          <w:rStyle w:val="font_h2"/>
        </w:rPr>
        <w:t xml:space="preserve">5.5. Réalisation des joints</w:t>
      </w:r>
    </w:p>
    <w:p>
      <w:pPr>
        <w:ind w:left="720" w:right="0"/>
      </w:pPr>
      <w:r>
        <w:rPr>
          <w:rStyle w:val="font_h2"/>
        </w:rPr>
        <w:t xml:space="preserve">5.6. Tolérances d'exécution</w:t>
      </w:r>
    </w:p>
    <w:p>
      <w:pPr>
        <w:ind w:left="720" w:right="0"/>
      </w:pPr>
      <w:r>
        <w:rPr>
          <w:rStyle w:val="font_h2"/>
        </w:rPr>
        <w:t xml:space="preserve">5.7. Mise en oeuvre du carrelage collé</w:t>
      </w:r>
    </w:p>
    <w:p>
      <w:pPr>
        <w:ind w:left="720" w:right="0"/>
      </w:pPr>
      <w:r>
        <w:rPr>
          <w:rStyle w:val="font_h2"/>
        </w:rPr>
        <w:t xml:space="preserve">5.8. Délai de remise en service</w:t>
      </w:r>
    </w:p>
    <w:p>
      <w:pPr/>
      <w:r>
        <w:rPr>
          <w:rStyle w:val="font_h1"/>
        </w:rPr>
        <w:t xml:space="preserve">6. Mise en oeuvre dans les locaux P2 et P3</w:t>
      </w:r>
    </w:p>
    <w:p>
      <w:pPr>
        <w:ind w:left="720" w:right="0"/>
      </w:pPr>
      <w:r>
        <w:rPr>
          <w:rStyle w:val="font_h2"/>
        </w:rPr>
        <w:t xml:space="preserve">6.1. En neuf</w:t>
      </w:r>
    </w:p>
    <w:p>
      <w:pPr>
        <w:ind w:left="720" w:right="0"/>
      </w:pPr>
      <w:r>
        <w:rPr>
          <w:rStyle w:val="font_h2"/>
        </w:rPr>
        <w:t xml:space="preserve">6.2. Rénovation sur ancien revêtement</w:t>
      </w:r>
    </w:p>
    <w:p>
      <w:pPr>
        <w:ind w:left="1440" w:right="0"/>
      </w:pPr>
      <w:r>
        <w:rPr>
          <w:rStyle w:val="font_h3"/>
        </w:rPr>
        <w:t xml:space="preserve">6.2.1. Pose adhérente sur ancien carrelage</w:t>
      </w:r>
    </w:p>
    <w:p>
      <w:pPr>
        <w:ind w:left="2160" w:right="0"/>
      </w:pPr>
      <w:r>
        <w:rPr>
          <w:rStyle w:val="font_h3"/>
        </w:rPr>
        <w:t xml:space="preserve">6.2.1.1. Reconnaissance du support</w:t>
      </w:r>
    </w:p>
    <w:p>
      <w:pPr>
        <w:ind w:left="2160" w:right="0"/>
      </w:pPr>
      <w:r>
        <w:rPr>
          <w:rStyle w:val="font_h3"/>
        </w:rPr>
        <w:t xml:space="preserve">6.2.1.2. Préparation du support</w:t>
      </w:r>
    </w:p>
    <w:p>
      <w:pPr>
        <w:ind w:left="2160" w:right="0"/>
      </w:pPr>
      <w:r>
        <w:rPr>
          <w:rStyle w:val="font_h3"/>
        </w:rPr>
        <w:t xml:space="preserve">6.2.1.3. Mise en oeuvre de la chape</w:t>
      </w:r>
    </w:p>
    <w:p>
      <w:pPr>
        <w:ind w:left="1440" w:right="0"/>
      </w:pPr>
      <w:r>
        <w:rPr>
          <w:rStyle w:val="font_h3"/>
        </w:rPr>
        <w:t xml:space="preserve">6.2.2. Pose désolidarisée sur ancien carrelage</w:t>
      </w:r>
    </w:p>
    <w:p>
      <w:pPr/>
      <w:r>
        <w:rPr>
          <w:rStyle w:val="font_h1"/>
        </w:rPr>
        <w:t xml:space="preserve">7. Assistance technique</w:t>
      </w:r>
    </w:p>
    <w:p>
      <w:pPr/>
      <w:r>
        <w:rPr>
          <w:rStyle w:val="font_h1"/>
        </w:rPr>
        <w:t xml:space="preserve">8.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661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2026-06-26T07:43:39+02:00</dcterms:created>
  <dcterms:modified xsi:type="dcterms:W3CDTF">2026-06-26T07:43:39+02:00</dcterms:modified>
</cp:coreProperties>
</file>

<file path=docProps/custom.xml><?xml version="1.0" encoding="utf-8"?>
<Properties xmlns="http://schemas.openxmlformats.org/officeDocument/2006/custom-properties" xmlns:vt="http://schemas.openxmlformats.org/officeDocument/2006/docPropsVTypes"/>
</file>