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Collectif pour Chaudières Étanches (3CE)</w:t>
      </w:r>
    </w:p>
    <w:p>
      <w:pPr/>
      <w:r>
        <w:rPr>
          <w:rStyle w:val="font_h1"/>
        </w:rPr>
        <w:t xml:space="preserve">1. Principe</w:t>
      </w:r>
    </w:p>
    <w:p>
      <w:pPr/>
      <w:r>
        <w:rPr/>
        <w:t xml:space="preserve">Validé par le Groupe Spécialisé le 08/04/2021</w:t>
      </w:r>
    </w:p>
    <w:p>
      <w:pPr/>
      <w:r>
        <w:rPr>
          <w:b/>
          <w:bCs/>
        </w:rPr>
        <w:t xml:space="preserve">Description</w:t>
      </w:r>
    </w:p>
    <w:p>
      <w:pPr/>
      <w:r>
        <w:rPr/>
        <w:t xml:space="preserve">Décrire succinctement les différentes versions du système 3CEp et les types d'appareil à gaz à circuit de combustion étanche compatibles avec le système par référence aux types définis dans la NF EN 1749 : 2020 et dans les normes européennes existantes : C4p, C(10), C(11) et C8p.</w:t>
      </w:r>
    </w:p>
    <w:p>
      <w:pPr>
        <w:pPr/>
        <w:numPr>
          <w:ilvl w:val="0"/>
          <w:numId w:val="9"/>
        </w:numPr>
      </w:pPr>
      <w:r>
        <w:rPr/>
        <w:t xml:space="preserve">Le type C4p concerne la configuration concentrique et la configuration réutilisation de conduit de fumée Shunt ou Alsace existant.</w:t>
      </w:r>
    </w:p>
    <w:p>
      <w:pPr>
        <w:pPr/>
        <w:numPr>
          <w:ilvl w:val="0"/>
          <w:numId w:val="9"/>
        </w:numPr>
      </w:pPr>
      <w:r>
        <w:rPr/>
        <w:t xml:space="preserve">Les types C(10) et C(11) concernent la configuration concentrique.</w:t>
      </w:r>
    </w:p>
    <w:p>
      <w:pPr>
        <w:pPr/>
        <w:numPr>
          <w:ilvl w:val="0"/>
          <w:numId w:val="9"/>
        </w:numPr>
      </w:pPr>
      <w:r>
        <w:rPr/>
        <w:t xml:space="preserve">Le type C8p concerne la configuration séparée, avec conduit collectif installé à l’extérieur. Le type C8p peut également être utilisé dans le configuration réutilisation de conduit existant. Dans ce cas le conduit existant devient une gaine et l’espace annulaire est mis à l’air libre en partie haute pour éviter qu’en cas de fuite des produits de combustion, ceux-ci ne soient réintroduits dans les logements.</w:t>
      </w:r>
    </w:p>
    <w:p>
      <w:pPr/>
      <w:r>
        <w:rPr/>
        <w:t xml:space="preserve">Préciser la (les) désignation(s) d'ouvrage(s) du système : Txxx P1/H1 W1 O(xx)</w:t>
      </w:r>
    </w:p>
    <w:p>
      <w:pPr/>
      <w:r>
        <w:rPr>
          <w:b/>
          <w:bCs/>
        </w:rPr>
        <w:t xml:space="preserve">Critères d'évaluation</w:t>
      </w:r>
    </w:p>
    <w:p>
      <w:pPr/>
      <w:r>
        <w:rPr/>
        <w:t xml:space="preserve">Dans le cas des conduits 3CEp installés à l’extérieur, la désignation de l’ouvrage doit avoir une distance de sécurité égale à la plus grande des deux distances de sécurité entre celle des conduits isolés et celle des conduits de liaison concentriques.</w:t>
      </w:r>
    </w:p>
    <w:p>
      <w:pPr/>
      <w:r>
        <w:rPr>
          <w:rStyle w:val="font_h1"/>
        </w:rPr>
        <w:t xml:space="preserve">2. Domaine d'emploi</w:t>
      </w:r>
    </w:p>
    <w:p>
      <w:pPr/>
      <w:r>
        <w:rPr/>
        <w:t xml:space="preserve">Validé par le Groupe Spécialisé le 08/04/2021</w:t>
      </w:r>
    </w:p>
    <w:p>
      <w:pPr/>
      <w:r>
        <w:rPr>
          <w:b/>
          <w:bCs/>
        </w:rPr>
        <w:t xml:space="preserve">Description</w:t>
      </w:r>
    </w:p>
    <w:p>
      <w:pPr/>
      <w:r>
        <w:rPr/>
        <w:t xml:space="preserve">Décrire les caractéristiques des appareils à gaz compatibles avec le système : type selon la NF EN 1749:2020, température des produits de combustion, pression positive à la buse, puissance utile maximale inférieure ou égale à 70 kW, conformité au règlement Eco-conception UE 813/2013 ou au règlement Eco-conception UE 814/2013.</w:t>
      </w:r>
    </w:p>
    <w:p>
      <w:pPr/>
      <w:r>
        <w:rPr/>
        <w:t xml:space="preserve">Préciser que :</w:t>
      </w:r>
    </w:p>
    <w:p>
      <w:pPr>
        <w:pPr/>
        <w:numPr>
          <w:ilvl w:val="0"/>
          <w:numId w:val="10"/>
        </w:numPr>
      </w:pPr>
      <w:r>
        <w:rPr/>
        <w:t xml:space="preserve">les appareils doivent être titulaires d'un marquage CE avec la France comme pays de destination,</w:t>
      </w:r>
    </w:p>
    <w:p>
      <w:pPr>
        <w:pPr/>
        <w:numPr>
          <w:ilvl w:val="0"/>
          <w:numId w:val="10"/>
        </w:numPr>
      </w:pPr>
      <w:r>
        <w:rPr/>
        <w:t xml:space="preserve">le marquage CE et les notices des appareils doivent indiquer la possibilité et les conditions (si nécessaire) de raccordement à un conduit collectif fonctionnant en pression positive.</w:t>
      </w:r>
    </w:p>
    <w:p>
      <w:pPr/>
      <w:r>
        <w:rPr/>
        <w:t xml:space="preserve">Indiquer que le dimensionnement doit être réalisé selon l'EN 13384-2+A1, et pour chaque version du système préciser le nombre d'appareils maximal raccordables par colonne et à chaque niveau.</w:t>
      </w:r>
    </w:p>
    <w:p>
      <w:pPr/>
      <w:r>
        <w:rPr/>
        <w:t xml:space="preserve">Lorsque le domaine d'emploi prévoit le type C(11) les dispositions spécifiques suivantes sont à prévoir dans la mesure où le système 3CEP fait partie d’un appareil de type C(11) constitué de l’assemblage de deux appareils ou plus. Pour les appareils à gaz de type C(11), le marquage CE et la notice de l’appareil doivent spécifier la possibilité et les conditions (si nécessaire) de raccordement au système, les configurations d’installation possibles et le dimensionnement de l’installation. </w:t>
      </w:r>
    </w:p>
    <w:p>
      <w:pPr/>
      <w:r>
        <w:rPr/>
        <w:t xml:space="preserve">Indiquer les types de bâtiments et de locaux visés par le domaine d'emploi en Habitation, Code du Travail et ERP.</w:t>
      </w:r>
    </w:p>
    <w:p>
      <w:pPr/>
      <w:r>
        <w:rPr/>
        <w:t xml:space="preserve">Dans tout le dossier, préciser le domaine d’emploi en ERP et dans les bâtiments relevant du code du travail comme suit :Le système peut desservir des appareils à gaz, sous réserve du respect des dispositions spécifiques de :</w:t>
      </w:r>
    </w:p>
    <w:p>
      <w:pPr>
        <w:pPr/>
        <w:numPr>
          <w:ilvl w:val="0"/>
          <w:numId w:val="11"/>
        </w:numPr>
      </w:pPr>
      <w:r>
        <w:rPr/>
        <w:t xml:space="preserve">l'arrêté du 22 juin 1990 modifié pour les ERP de 5ème catégorie,</w:t>
      </w:r>
    </w:p>
    <w:p>
      <w:pPr>
        <w:pPr/>
        <w:numPr>
          <w:ilvl w:val="0"/>
          <w:numId w:val="11"/>
        </w:numPr>
      </w:pPr>
      <w:r>
        <w:rPr/>
        <w:t xml:space="preserve">du code du travail pour les bâtiments concernés.</w:t>
      </w:r>
    </w:p>
    <w:p>
      <w:pPr/>
      <w:r>
        <w:rPr/>
        <w:t xml:space="preserve">En ERP de 5ème catégorie, la puissance utile totale des appareils est inférieure ou égale à 30 kW par local.</w:t>
      </w:r>
    </w:p>
    <w:p>
      <w:pPr/>
      <w:r>
        <w:rPr/>
        <w:t xml:space="preserve">Utiliser le terme « parties privatives » pour les configurations dans lesquelles les appareils sont installés dans les logements (donc hors ATG ou EPE).</w:t>
      </w:r>
    </w:p>
    <w:p>
      <w:pPr/>
      <w:r>
        <w:rPr>
          <w:b/>
          <w:bCs/>
        </w:rPr>
        <w:t xml:space="preserve">Justification</w:t>
      </w:r>
    </w:p>
    <w:p>
      <w:pPr/>
      <w:r>
        <w:rPr/>
        <w:t xml:space="preserve">Pour le type C(11), dans la mesure où le système 3CEP fait partie d’un appareil de type C(11), fournir un document du fabricant d’un appareil attestant de la compatibilité du système avec l’appareil en C(11) (avec l’annexe de dimensionnement jointe à titre d’information).</w:t>
      </w:r>
    </w:p>
    <w:p>
      <w:pPr/>
      <w:r>
        <w:rPr>
          <w:b/>
          <w:bCs/>
        </w:rPr>
        <w:t xml:space="preserve">Critères d'évaluation</w:t>
      </w:r>
    </w:p>
    <w:p>
      <w:pPr/>
      <w:r>
        <w:rPr/>
        <w:t xml:space="preserve">Les caractéristiques des appareils à gaz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ind w:left="720" w:right="0"/>
      </w:pPr>
      <w:r>
        <w:rPr>
          <w:rStyle w:val="font_h2"/>
        </w:rPr>
        <w:t xml:space="preserve">3.1. Version concentrique du système installée à l'intérieur du bâtiment</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t xml:space="preserve">Décrire la trappe de visite coupe-feu permettant de respecter les exigences de l'arrêté du 31/01/1986 modifié.</w:t>
      </w:r>
    </w:p>
    <w:p>
      <w:pPr/>
      <w:r>
        <w:rPr>
          <w:b/>
          <w:bCs/>
        </w:rPr>
        <w:t xml:space="preserve">Illustration</w:t>
      </w:r>
    </w:p>
    <w:p>
      <w:pPr/>
      <w:r>
        <w:rPr/>
        <w:t xml:space="preserve">Réaliser une figure de cette version du système</w:t>
      </w:r>
    </w:p>
    <w:p>
      <w:pPr>
        <w:ind w:left="720" w:right="0"/>
      </w:pPr>
      <w:r>
        <w:rPr>
          <w:rStyle w:val="font_h2"/>
        </w:rPr>
        <w:t xml:space="preserve">3.2. Version concentrique du système installée dans un EPE ou dans une Alvéole Technique Gaz (ATG)</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b/>
          <w:bCs/>
        </w:rPr>
        <w:t xml:space="preserve">Illustration</w:t>
      </w:r>
    </w:p>
    <w:p>
      <w:pPr/>
      <w:r>
        <w:rPr/>
        <w:t xml:space="preserve">Réaliser une figure de cette version du système</w:t>
      </w:r>
    </w:p>
    <w:p>
      <w:pPr>
        <w:ind w:left="720" w:right="0"/>
      </w:pPr>
      <w:r>
        <w:rPr>
          <w:rStyle w:val="font_h2"/>
        </w:rPr>
        <w:t xml:space="preserve">3.3. Version du système installée à l'extérieur du bâtiment</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b/>
          <w:bCs/>
        </w:rPr>
        <w:t xml:space="preserve">Illustration</w:t>
      </w:r>
    </w:p>
    <w:p>
      <w:pPr/>
      <w:r>
        <w:rPr/>
        <w:t xml:space="preserve">Réaliser une figure de cette version du système</w:t>
      </w:r>
    </w:p>
    <w:p>
      <w:pPr>
        <w:ind w:left="720" w:right="0"/>
      </w:pPr>
      <w:r>
        <w:rPr>
          <w:rStyle w:val="font_h2"/>
        </w:rPr>
        <w:t xml:space="preserve">3.4. Version du système utilisée en réutilisation de conduit collectif existant</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b/>
          <w:bCs/>
        </w:rPr>
        <w:t xml:space="preserve">Illustration</w:t>
      </w:r>
    </w:p>
    <w:p>
      <w:pPr/>
      <w:r>
        <w:rPr/>
        <w:t xml:space="preserve">Réaliser une figure de cette version du système</w:t>
      </w:r>
    </w:p>
    <w:p>
      <w:pPr/>
      <w:r>
        <w:rPr>
          <w:b/>
          <w:bCs/>
        </w:rPr>
        <w:t xml:space="preserve">Critères d'évaluation</w:t>
      </w:r>
    </w:p>
    <w:p>
      <w:pPr/>
      <w:r>
        <w:rPr/>
        <w:t xml:space="preserve">Les composants doivent être compatibles avec l'insertion dans un conduit collectif de type shunt.</w:t>
      </w:r>
    </w:p>
    <w:p>
      <w:pPr/>
      <w:r>
        <w:rPr>
          <w:rStyle w:val="font_h1"/>
        </w:rPr>
        <w:t xml:space="preserve">4. Description des éléments</w:t>
      </w:r>
    </w:p>
    <w:p>
      <w:pPr>
        <w:ind w:left="720" w:right="0"/>
      </w:pPr>
      <w:r>
        <w:rPr>
          <w:rStyle w:val="font_h2"/>
        </w:rPr>
        <w:t xml:space="preserve">4.1. Version concentrique du système installée à l'intérieur du bâtiment</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12"/>
        </w:numPr>
      </w:pPr>
      <w:r>
        <w:rPr/>
        <w:t xml:space="preserve">conduits droits concentriques</w:t>
      </w:r>
    </w:p>
    <w:p>
      <w:pPr>
        <w:pPr/>
        <w:numPr>
          <w:ilvl w:val="0"/>
          <w:numId w:val="12"/>
        </w:numPr>
      </w:pPr>
      <w:r>
        <w:rPr/>
        <w:t xml:space="preserve">Eléments ajustables</w:t>
      </w:r>
    </w:p>
    <w:p>
      <w:pPr>
        <w:pPr/>
        <w:numPr>
          <w:ilvl w:val="0"/>
          <w:numId w:val="12"/>
        </w:numPr>
      </w:pPr>
      <w:r>
        <w:rPr/>
        <w:t xml:space="preserve">Tés et coudes</w:t>
      </w:r>
    </w:p>
    <w:p>
      <w:pPr>
        <w:pPr/>
        <w:numPr>
          <w:ilvl w:val="0"/>
          <w:numId w:val="12"/>
        </w:numPr>
      </w:pPr>
      <w:r>
        <w:rPr/>
        <w:t xml:space="preserve">Conduits de liaison concentriques (préciser si les conduits sont recoupables)</w:t>
      </w:r>
    </w:p>
    <w:p>
      <w:pPr>
        <w:pPr/>
        <w:numPr>
          <w:ilvl w:val="0"/>
          <w:numId w:val="12"/>
        </w:numPr>
      </w:pPr>
      <w:r>
        <w:rPr/>
        <w:t xml:space="preserve">Terminaux (préciser le taux de recirculation moyen)</w:t>
      </w:r>
    </w:p>
    <w:p>
      <w:pPr>
        <w:pPr/>
        <w:numPr>
          <w:ilvl w:val="0"/>
          <w:numId w:val="12"/>
        </w:numPr>
      </w:pPr>
      <w:r>
        <w:rPr/>
        <w:t xml:space="preserve">Siphon</w:t>
      </w:r>
    </w:p>
    <w:p>
      <w:pPr>
        <w:pPr/>
        <w:numPr>
          <w:ilvl w:val="0"/>
          <w:numId w:val="12"/>
        </w:numPr>
      </w:pPr>
      <w:r>
        <w:rPr/>
        <w:t xml:space="preserve">Joints (préciser la désignation des joints selon EN 14241-1)</w:t>
      </w:r>
    </w:p>
    <w:p>
      <w:pPr>
        <w:pPr/>
        <w:numPr>
          <w:ilvl w:val="0"/>
          <w:numId w:val="12"/>
        </w:numPr>
      </w:pPr>
      <w:r>
        <w:rPr/>
        <w:t xml:space="preserve">Dispositifs d'obturation et de maintenance</w:t>
      </w:r>
    </w:p>
    <w:p>
      <w:pPr>
        <w:pPr/>
        <w:numPr>
          <w:ilvl w:val="0"/>
          <w:numId w:val="12"/>
        </w:numPr>
      </w:pPr>
      <w:r>
        <w:rPr/>
        <w:t xml:space="preserve">Accessoires</w:t>
      </w:r>
    </w:p>
    <w:p>
      <w:pPr/>
      <w:r>
        <w:rPr>
          <w:b/>
          <w:bCs/>
        </w:rPr>
        <w:t xml:space="preserve">Justification</w:t>
      </w:r>
    </w:p>
    <w:p>
      <w:pPr/>
      <w:r>
        <w:rPr/>
        <w:t xml:space="preserve">Justifications liées au marquage CE :</w:t>
      </w:r>
    </w:p>
    <w:p>
      <w:pPr>
        <w:pPr/>
        <w:numPr>
          <w:ilvl w:val="0"/>
          <w:numId w:val="13"/>
        </w:numPr>
      </w:pPr>
      <w:r>
        <w:rPr/>
        <w:t xml:space="preserve">Rapports d'essai du marquage CE</w:t>
      </w:r>
    </w:p>
    <w:p>
      <w:pPr>
        <w:pPr/>
        <w:numPr>
          <w:ilvl w:val="0"/>
          <w:numId w:val="13"/>
        </w:numPr>
      </w:pPr>
      <w:r>
        <w:rPr/>
        <w:t xml:space="preserve">Certificat de CPU du marquage CE</w:t>
      </w:r>
    </w:p>
    <w:p>
      <w:pPr>
        <w:pPr/>
        <w:numPr>
          <w:ilvl w:val="0"/>
          <w:numId w:val="13"/>
        </w:numPr>
      </w:pPr>
      <w:r>
        <w:rPr/>
        <w:t xml:space="preserve">Déclaration de Performance (DoP) pour l'ensemble des produits</w:t>
      </w:r>
    </w:p>
    <w:p>
      <w:pPr/>
      <w:r>
        <w:rPr/>
        <w:t xml:space="preserve">Autres essais :</w:t>
      </w:r>
    </w:p>
    <w:p>
      <w:pPr>
        <w:pPr/>
        <w:numPr>
          <w:ilvl w:val="0"/>
          <w:numId w:val="14"/>
        </w:numPr>
      </w:pPr>
      <w:r>
        <w:rPr/>
        <w:t xml:space="preserve">Essai d'étanchéité du conduit d'amenée d'air selon l'EN 14989-2 (si non intégré aux rapports d'essai de marquage CE)</w:t>
      </w:r>
    </w:p>
    <w:p>
      <w:pPr>
        <w:pPr/>
        <w:numPr>
          <w:ilvl w:val="0"/>
          <w:numId w:val="14"/>
        </w:numPr>
      </w:pPr>
      <w:r>
        <w:rPr/>
        <w:t xml:space="preserve">Essai d'étanchéité du siphon à la pression de fonctionnement maximale du conduit</w:t>
      </w:r>
    </w:p>
    <w:p>
      <w:pPr>
        <w:pPr/>
        <w:numPr>
          <w:ilvl w:val="0"/>
          <w:numId w:val="14"/>
        </w:numPr>
      </w:pPr>
      <w:r>
        <w:rPr/>
        <w:t xml:space="preserve">Essai d'étanchéité des dispositifs d'obturation et de maintenance à la pression de fonctionnement maximale du conduit</w:t>
      </w:r>
    </w:p>
    <w:p>
      <w:pPr>
        <w:pPr/>
        <w:numPr>
          <w:ilvl w:val="0"/>
          <w:numId w:val="14"/>
        </w:numPr>
      </w:pPr>
      <w:r>
        <w:rPr/>
        <w:t xml:space="preserve">Essai de recirculation des terminaux concentriques (selon protocole de l'EN 14989-1). A partir d'une gamme comportant 4 diamètres, 2 diamètres au minimum doivent être testés</w:t>
      </w:r>
    </w:p>
    <w:p>
      <w:pPr>
        <w:pPr/>
        <w:numPr>
          <w:ilvl w:val="0"/>
          <w:numId w:val="14"/>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15"/>
        </w:numPr>
      </w:pPr>
      <w:r>
        <w:rPr/>
        <w:t xml:space="preserve">Pour les siphons : l’essai est réalisé sur le siphon, la purge et un élément droit de 1 m.</w:t>
      </w:r>
    </w:p>
    <w:p>
      <w:pPr>
        <w:pPr/>
        <w:numPr>
          <w:ilvl w:val="0"/>
          <w:numId w:val="15"/>
        </w:numPr>
      </w:pPr>
      <w:r>
        <w:rPr/>
        <w:t xml:space="preserve">Pour les dispositifs d'obturation et de maintenance : l’essai est réalisé sur le dispositif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6"/>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16"/>
        </w:numPr>
      </w:pPr>
      <w:r>
        <w:rPr/>
        <w:t xml:space="preserve">pour les terminaux : taux de recirculation moyen conforme à l'exigence de l'EN 14989-1</w:t>
      </w:r>
    </w:p>
    <w:p>
      <w:pPr>
        <w:pPr/>
        <w:numPr>
          <w:ilvl w:val="0"/>
          <w:numId w:val="16"/>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16"/>
        </w:numPr>
      </w:pPr>
      <w:r>
        <w:rPr/>
        <w:t xml:space="preserve">Pour les dispositifs d'obturation et de maintenance, le critère d’étanchéité à considérer est équivalent à celui d’un conduit de diamètre 80/125 mm de 1 m de longueur. Soit :</w:t>
      </w:r>
    </w:p>
    <w:p>
      <w:pPr>
        <w:pPr/>
        <w:numPr>
          <w:ilvl w:val="1"/>
          <w:numId w:val="16"/>
        </w:numPr>
      </w:pPr>
      <w:r>
        <w:rPr/>
        <w:t xml:space="preserve">0,0015 l/s pour le conduit d’évacuation des produits de combustion (sous 200 Pa pour un conduit P1 et sous 200 Pa et 5000 Pa pour un conduit H1)</w:t>
      </w:r>
    </w:p>
    <w:p>
      <w:pPr>
        <w:pPr/>
        <w:numPr>
          <w:ilvl w:val="1"/>
          <w:numId w:val="16"/>
        </w:numPr>
      </w:pPr>
      <w:r>
        <w:rPr/>
        <w:t xml:space="preserve">0,11 l/s sous 40 Pa pour le conduit d’amenée d’air.</w:t>
      </w:r>
    </w:p>
    <w:p>
      <w:pPr>
        <w:ind w:left="720" w:right="0"/>
      </w:pPr>
      <w:r>
        <w:rPr>
          <w:rStyle w:val="font_h2"/>
        </w:rPr>
        <w:t xml:space="preserve">4.2. Version concentrique du système installée dans un EPE ou dans une Alvéole Technique Gaz (ATG)</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17"/>
        </w:numPr>
      </w:pPr>
      <w:r>
        <w:rPr/>
        <w:t xml:space="preserve">conduits droits concentriques</w:t>
      </w:r>
    </w:p>
    <w:p>
      <w:pPr>
        <w:pPr/>
        <w:numPr>
          <w:ilvl w:val="0"/>
          <w:numId w:val="17"/>
        </w:numPr>
      </w:pPr>
      <w:r>
        <w:rPr/>
        <w:t xml:space="preserve">Eléments ajustables</w:t>
      </w:r>
    </w:p>
    <w:p>
      <w:pPr>
        <w:pPr/>
        <w:numPr>
          <w:ilvl w:val="0"/>
          <w:numId w:val="17"/>
        </w:numPr>
      </w:pPr>
      <w:r>
        <w:rPr/>
        <w:t xml:space="preserve">Tés et coudes</w:t>
      </w:r>
    </w:p>
    <w:p>
      <w:pPr>
        <w:pPr/>
        <w:numPr>
          <w:ilvl w:val="0"/>
          <w:numId w:val="17"/>
        </w:numPr>
      </w:pPr>
      <w:r>
        <w:rPr/>
        <w:t xml:space="preserve">Conduits de liaison concentriques (préciser si les conduits sont recoupables)</w:t>
      </w:r>
    </w:p>
    <w:p>
      <w:pPr>
        <w:pPr/>
        <w:numPr>
          <w:ilvl w:val="0"/>
          <w:numId w:val="17"/>
        </w:numPr>
      </w:pPr>
      <w:r>
        <w:rPr/>
        <w:t xml:space="preserve">Terminaux (préciser le taux de recirculation moyen)</w:t>
      </w:r>
    </w:p>
    <w:p>
      <w:pPr>
        <w:pPr/>
        <w:numPr>
          <w:ilvl w:val="0"/>
          <w:numId w:val="17"/>
        </w:numPr>
      </w:pPr>
      <w:r>
        <w:rPr/>
        <w:t xml:space="preserve">Siphon</w:t>
      </w:r>
    </w:p>
    <w:p>
      <w:pPr>
        <w:pPr/>
        <w:numPr>
          <w:ilvl w:val="0"/>
          <w:numId w:val="17"/>
        </w:numPr>
      </w:pPr>
      <w:r>
        <w:rPr/>
        <w:t xml:space="preserve">Joints (préciser la désignation des joints selon EN 14241-1)</w:t>
      </w:r>
    </w:p>
    <w:p>
      <w:pPr>
        <w:pPr/>
        <w:numPr>
          <w:ilvl w:val="0"/>
          <w:numId w:val="17"/>
        </w:numPr>
      </w:pPr>
      <w:r>
        <w:rPr/>
        <w:t xml:space="preserve">Dispositifs d'obturation et de maintenance</w:t>
      </w:r>
    </w:p>
    <w:p>
      <w:pPr>
        <w:pPr/>
        <w:numPr>
          <w:ilvl w:val="0"/>
          <w:numId w:val="17"/>
        </w:numPr>
      </w:pPr>
      <w:r>
        <w:rPr/>
        <w:t xml:space="preserve">Accessoires</w:t>
      </w:r>
    </w:p>
    <w:p>
      <w:pPr/>
      <w:r>
        <w:rPr>
          <w:b/>
          <w:bCs/>
        </w:rPr>
        <w:t xml:space="preserve">Justification</w:t>
      </w:r>
    </w:p>
    <w:p>
      <w:pPr/>
      <w:r>
        <w:rPr/>
        <w:t xml:space="preserve">Justifications liées au marquage CE :</w:t>
      </w:r>
    </w:p>
    <w:p>
      <w:pPr>
        <w:pPr/>
        <w:numPr>
          <w:ilvl w:val="0"/>
          <w:numId w:val="18"/>
        </w:numPr>
      </w:pPr>
      <w:r>
        <w:rPr/>
        <w:t xml:space="preserve">Rapports d'essai du marquage CE</w:t>
      </w:r>
    </w:p>
    <w:p>
      <w:pPr>
        <w:pPr/>
        <w:numPr>
          <w:ilvl w:val="0"/>
          <w:numId w:val="18"/>
        </w:numPr>
      </w:pPr>
      <w:r>
        <w:rPr/>
        <w:t xml:space="preserve">Certificat de CPU du marquage CE</w:t>
      </w:r>
    </w:p>
    <w:p>
      <w:pPr>
        <w:pPr/>
        <w:numPr>
          <w:ilvl w:val="0"/>
          <w:numId w:val="18"/>
        </w:numPr>
      </w:pPr>
      <w:r>
        <w:rPr/>
        <w:t xml:space="preserve">Déclaration de Performance (DoP) pour l'ensemble des produits</w:t>
      </w:r>
    </w:p>
    <w:p>
      <w:pPr/>
      <w:r>
        <w:rPr/>
        <w:t xml:space="preserve">Autres essais :</w:t>
      </w:r>
    </w:p>
    <w:p>
      <w:pPr>
        <w:pPr/>
        <w:numPr>
          <w:ilvl w:val="0"/>
          <w:numId w:val="19"/>
        </w:numPr>
      </w:pPr>
      <w:r>
        <w:rPr/>
        <w:t xml:space="preserve">Essai d'étanchéité du conduit d'amenée d'air selon l'EN 14989-2 (si non intégré aux rapports d'essai de marquage CE)</w:t>
      </w:r>
    </w:p>
    <w:p>
      <w:pPr>
        <w:pPr/>
        <w:numPr>
          <w:ilvl w:val="0"/>
          <w:numId w:val="19"/>
        </w:numPr>
      </w:pPr>
      <w:r>
        <w:rPr/>
        <w:t xml:space="preserve">Essai d'étanchéité du siphon à la pression de fonctionnement maximale du conduit</w:t>
      </w:r>
    </w:p>
    <w:p>
      <w:pPr>
        <w:pPr/>
        <w:numPr>
          <w:ilvl w:val="0"/>
          <w:numId w:val="19"/>
        </w:numPr>
      </w:pPr>
      <w:r>
        <w:rPr/>
        <w:t xml:space="preserve">Essai d'étanchéité des dispositifs d'obturation et de maintenance à la pression de fonctionnement maximale du conduit</w:t>
      </w:r>
    </w:p>
    <w:p>
      <w:pPr>
        <w:pPr/>
        <w:numPr>
          <w:ilvl w:val="0"/>
          <w:numId w:val="19"/>
        </w:numPr>
      </w:pPr>
      <w:r>
        <w:rPr/>
        <w:t xml:space="preserve">Essai de recirculation des terminaux concentriques (selon protocole de l'EN 14989-1)</w:t>
      </w:r>
    </w:p>
    <w:p>
      <w:pPr>
        <w:pPr/>
        <w:numPr>
          <w:ilvl w:val="0"/>
          <w:numId w:val="19"/>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20"/>
        </w:numPr>
      </w:pPr>
      <w:r>
        <w:rPr/>
        <w:t xml:space="preserve">Pour les siphons : l’essai est réalisé sur le siphon, la purge et un élément droit de 1 m.</w:t>
      </w:r>
    </w:p>
    <w:p>
      <w:pPr>
        <w:pPr/>
        <w:numPr>
          <w:ilvl w:val="0"/>
          <w:numId w:val="20"/>
        </w:numPr>
      </w:pPr>
      <w:r>
        <w:rPr/>
        <w:t xml:space="preserve">Pour les dispositifs d'obturation et de maintenance : l’essai est réalisé sur le dispositif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21"/>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21"/>
        </w:numPr>
      </w:pPr>
      <w:r>
        <w:rPr/>
        <w:t xml:space="preserve">pour les terminaux : taux de recirculation moyen conforme à l'exigence de l'EN 14989-1</w:t>
      </w:r>
    </w:p>
    <w:p>
      <w:pPr>
        <w:pPr/>
        <w:numPr>
          <w:ilvl w:val="0"/>
          <w:numId w:val="21"/>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21"/>
        </w:numPr>
      </w:pPr>
      <w:r>
        <w:rPr/>
        <w:t xml:space="preserve">pour les dispositifs d'obturation et de maintenance, le critère d’étanchéité à considérer est équivalent à celui d’un conduit de diamètre 80/125 mm de 1 m de longueur. Soit :</w:t>
      </w:r>
    </w:p>
    <w:p>
      <w:pPr>
        <w:pPr/>
        <w:numPr>
          <w:ilvl w:val="1"/>
          <w:numId w:val="21"/>
        </w:numPr>
      </w:pPr>
      <w:r>
        <w:rPr/>
        <w:t xml:space="preserve">0,0015 l/s pour le conduit d’évacuation des produits de combustion (sous 200 Pa pour un conduit P1 et sous 200 Pa et 5000 Pa pour un conduit H1)</w:t>
      </w:r>
    </w:p>
    <w:p>
      <w:pPr>
        <w:pPr/>
        <w:numPr>
          <w:ilvl w:val="1"/>
          <w:numId w:val="21"/>
        </w:numPr>
      </w:pPr>
      <w:r>
        <w:rPr/>
        <w:t xml:space="preserve">0,11 l/s sous 40 Pa pour le conduit d’amenée d’air.</w:t>
      </w:r>
    </w:p>
    <w:p>
      <w:pPr>
        <w:ind w:left="720" w:right="0"/>
      </w:pPr>
      <w:r>
        <w:rPr>
          <w:rStyle w:val="font_h2"/>
        </w:rPr>
        <w:t xml:space="preserve">4.3. Version du système installée à l'extérieur du bâtiment</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22"/>
        </w:numPr>
      </w:pPr>
      <w:r>
        <w:rPr/>
        <w:t xml:space="preserve">conduits droits concentriques ou isolés</w:t>
      </w:r>
    </w:p>
    <w:p>
      <w:pPr>
        <w:pPr/>
        <w:numPr>
          <w:ilvl w:val="0"/>
          <w:numId w:val="22"/>
        </w:numPr>
      </w:pPr>
      <w:r>
        <w:rPr/>
        <w:t xml:space="preserve">Eléments ajustables</w:t>
      </w:r>
    </w:p>
    <w:p>
      <w:pPr>
        <w:pPr/>
        <w:numPr>
          <w:ilvl w:val="0"/>
          <w:numId w:val="22"/>
        </w:numPr>
      </w:pPr>
      <w:r>
        <w:rPr/>
        <w:t xml:space="preserve">Tés et coudes</w:t>
      </w:r>
    </w:p>
    <w:p>
      <w:pPr>
        <w:pPr/>
        <w:numPr>
          <w:ilvl w:val="0"/>
          <w:numId w:val="22"/>
        </w:numPr>
      </w:pPr>
      <w:r>
        <w:rPr/>
        <w:t xml:space="preserve">Conduits de liaison concentriques (préciser si les conduits sont recoupables) avec prise d'air extérieur ou sans prise d'air extérieur</w:t>
      </w:r>
    </w:p>
    <w:p>
      <w:pPr>
        <w:pPr/>
        <w:numPr>
          <w:ilvl w:val="0"/>
          <w:numId w:val="22"/>
        </w:numPr>
      </w:pPr>
      <w:r>
        <w:rPr/>
        <w:t xml:space="preserve">Terminaux concentriques (préciser le taux de recirculation moyen) ou non concentriques</w:t>
      </w:r>
    </w:p>
    <w:p>
      <w:pPr>
        <w:pPr/>
        <w:numPr>
          <w:ilvl w:val="0"/>
          <w:numId w:val="22"/>
        </w:numPr>
      </w:pPr>
      <w:r>
        <w:rPr/>
        <w:t xml:space="preserve">Siphon</w:t>
      </w:r>
    </w:p>
    <w:p>
      <w:pPr>
        <w:pPr/>
        <w:numPr>
          <w:ilvl w:val="0"/>
          <w:numId w:val="22"/>
        </w:numPr>
      </w:pPr>
      <w:r>
        <w:rPr/>
        <w:t xml:space="preserve">Joints (préciser la désignation des joints selon EN 14241-1)</w:t>
      </w:r>
    </w:p>
    <w:p>
      <w:pPr>
        <w:pPr/>
        <w:numPr>
          <w:ilvl w:val="0"/>
          <w:numId w:val="22"/>
        </w:numPr>
      </w:pPr>
      <w:r>
        <w:rPr/>
        <w:t xml:space="preserve">Dispositifs d'obturation et de maintenance</w:t>
      </w:r>
    </w:p>
    <w:p>
      <w:pPr>
        <w:pPr/>
        <w:numPr>
          <w:ilvl w:val="0"/>
          <w:numId w:val="22"/>
        </w:numPr>
      </w:pPr>
      <w:r>
        <w:rPr/>
        <w:t xml:space="preserve">Accessoires</w:t>
      </w:r>
    </w:p>
    <w:p>
      <w:pPr/>
      <w:r>
        <w:rPr>
          <w:b/>
          <w:bCs/>
        </w:rPr>
        <w:t xml:space="preserve">Justification</w:t>
      </w:r>
    </w:p>
    <w:p>
      <w:pPr/>
      <w:r>
        <w:rPr/>
        <w:t xml:space="preserve">Justifications liées au marquage CE :</w:t>
      </w:r>
    </w:p>
    <w:p>
      <w:pPr>
        <w:pPr/>
        <w:numPr>
          <w:ilvl w:val="0"/>
          <w:numId w:val="23"/>
        </w:numPr>
      </w:pPr>
      <w:r>
        <w:rPr/>
        <w:t xml:space="preserve">Rapports d'essai du marquage CE</w:t>
      </w:r>
    </w:p>
    <w:p>
      <w:pPr>
        <w:pPr/>
        <w:numPr>
          <w:ilvl w:val="0"/>
          <w:numId w:val="23"/>
        </w:numPr>
      </w:pPr>
      <w:r>
        <w:rPr/>
        <w:t xml:space="preserve">Certificat de CPU du marquage CE</w:t>
      </w:r>
    </w:p>
    <w:p>
      <w:pPr>
        <w:pPr/>
        <w:numPr>
          <w:ilvl w:val="0"/>
          <w:numId w:val="23"/>
        </w:numPr>
      </w:pPr>
      <w:r>
        <w:rPr/>
        <w:t xml:space="preserve">Déclaration de Performance (DoP) pour l'ensemble des produits</w:t>
      </w:r>
    </w:p>
    <w:p>
      <w:pPr/>
      <w:r>
        <w:rPr/>
        <w:t xml:space="preserve">Autres essais :</w:t>
      </w:r>
    </w:p>
    <w:p>
      <w:pPr>
        <w:pPr/>
        <w:numPr>
          <w:ilvl w:val="0"/>
          <w:numId w:val="24"/>
        </w:numPr>
      </w:pPr>
      <w:r>
        <w:rPr/>
        <w:t xml:space="preserve">Essai d'étanchéité du conduit d'amenée d'air selon l'EN 14989-2 (si non intégré aux rapports d'essai de marquage CE)</w:t>
      </w:r>
    </w:p>
    <w:p>
      <w:pPr>
        <w:pPr/>
        <w:numPr>
          <w:ilvl w:val="0"/>
          <w:numId w:val="24"/>
        </w:numPr>
      </w:pPr>
      <w:r>
        <w:rPr/>
        <w:t xml:space="preserve">Essai d'étanchéité du siphon à la pression de fonctionnement maximale du conduit</w:t>
      </w:r>
    </w:p>
    <w:p>
      <w:pPr>
        <w:pPr/>
        <w:numPr>
          <w:ilvl w:val="0"/>
          <w:numId w:val="24"/>
        </w:numPr>
      </w:pPr>
      <w:r>
        <w:rPr/>
        <w:t xml:space="preserve">Essai d'étanchéité des dispositifs d'obturation et de maintenance à la pression de fonctionnement maximale du conduit</w:t>
      </w:r>
    </w:p>
    <w:p>
      <w:pPr>
        <w:pPr/>
        <w:numPr>
          <w:ilvl w:val="0"/>
          <w:numId w:val="24"/>
        </w:numPr>
      </w:pPr>
      <w:r>
        <w:rPr/>
        <w:t xml:space="preserve">Essai de recirculation des terminaux concentriques (selon protocole de l'EN 14989-1)</w:t>
      </w:r>
    </w:p>
    <w:p>
      <w:pPr>
        <w:pPr/>
        <w:numPr>
          <w:ilvl w:val="0"/>
          <w:numId w:val="24"/>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25"/>
        </w:numPr>
      </w:pPr>
      <w:r>
        <w:rPr/>
        <w:t xml:space="preserve">Pour les siphons : l’essai est réalisé sur le siphon, la purge et un élément droit de 1 m.</w:t>
      </w:r>
    </w:p>
    <w:p>
      <w:pPr>
        <w:pPr/>
        <w:numPr>
          <w:ilvl w:val="0"/>
          <w:numId w:val="25"/>
        </w:numPr>
      </w:pPr>
      <w:r>
        <w:rPr/>
        <w:t xml:space="preserve">Pour les dispositifs d'obturation et de maintenance : l’essai est réalisé sur le bouchon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26"/>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26"/>
        </w:numPr>
      </w:pPr>
      <w:r>
        <w:rPr/>
        <w:t xml:space="preserve">pour les terminaux : taux de recirculation moyen conforme à l'exigence de l'EN 14989-1</w:t>
      </w:r>
    </w:p>
    <w:p>
      <w:pPr>
        <w:pPr/>
        <w:numPr>
          <w:ilvl w:val="0"/>
          <w:numId w:val="26"/>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26"/>
        </w:numPr>
      </w:pPr>
      <w:r>
        <w:rPr/>
        <w:t xml:space="preserve">Pour les dispositifs d'obturation et de maintenance, le critère d’étanchéité à considérer est équivalent à celui d’un conduit de diamètre 80/125 mm de 1 m de longueur. Soit :</w:t>
      </w:r>
    </w:p>
    <w:p>
      <w:pPr>
        <w:pPr/>
        <w:numPr>
          <w:ilvl w:val="1"/>
          <w:numId w:val="26"/>
        </w:numPr>
      </w:pPr>
      <w:r>
        <w:rPr/>
        <w:t xml:space="preserve">0,0015 l/s pour le conduit d’évacuation des produits de combustion (sous 200 Pa pour un conduit P1 et sous 200 Pa et 5000 Pa pour un conduit H1)</w:t>
      </w:r>
    </w:p>
    <w:p>
      <w:pPr>
        <w:pPr/>
        <w:numPr>
          <w:ilvl w:val="1"/>
          <w:numId w:val="26"/>
        </w:numPr>
      </w:pPr>
      <w:r>
        <w:rPr/>
        <w:t xml:space="preserve">0,11 l/s sous 40 Pa pour le conduit d’amenée d’air.</w:t>
      </w:r>
    </w:p>
    <w:p>
      <w:pPr>
        <w:ind w:left="720" w:right="0"/>
      </w:pPr>
      <w:r>
        <w:rPr>
          <w:rStyle w:val="font_h2"/>
        </w:rPr>
        <w:t xml:space="preserve">4.4. Version du système utilisée en réutilisation de conduit collectif existant</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27"/>
        </w:numPr>
      </w:pPr>
      <w:r>
        <w:rPr/>
        <w:t xml:space="preserve">conduits droits simple paroi</w:t>
      </w:r>
    </w:p>
    <w:p>
      <w:pPr>
        <w:pPr/>
        <w:numPr>
          <w:ilvl w:val="0"/>
          <w:numId w:val="27"/>
        </w:numPr>
      </w:pPr>
      <w:r>
        <w:rPr/>
        <w:t xml:space="preserve">Eléments ajustables</w:t>
      </w:r>
    </w:p>
    <w:p>
      <w:pPr>
        <w:pPr/>
        <w:numPr>
          <w:ilvl w:val="0"/>
          <w:numId w:val="27"/>
        </w:numPr>
      </w:pPr>
      <w:r>
        <w:rPr/>
        <w:t xml:space="preserve">Tés et coudes</w:t>
      </w:r>
    </w:p>
    <w:p>
      <w:pPr>
        <w:pPr/>
        <w:numPr>
          <w:ilvl w:val="0"/>
          <w:numId w:val="27"/>
        </w:numPr>
      </w:pPr>
      <w:r>
        <w:rPr/>
        <w:t xml:space="preserve">Conduits de liaison concentrique et simple paroi (préciser si les conduits sont recoupables)</w:t>
      </w:r>
    </w:p>
    <w:p>
      <w:pPr>
        <w:pPr/>
        <w:numPr>
          <w:ilvl w:val="0"/>
          <w:numId w:val="27"/>
        </w:numPr>
      </w:pPr>
      <w:r>
        <w:rPr/>
        <w:t xml:space="preserve">Terminaux (préciser le taux de recirculation moyen) compatibles avec le conduit shunt</w:t>
      </w:r>
    </w:p>
    <w:p>
      <w:pPr>
        <w:pPr/>
        <w:numPr>
          <w:ilvl w:val="0"/>
          <w:numId w:val="27"/>
        </w:numPr>
      </w:pPr>
      <w:r>
        <w:rPr/>
        <w:t xml:space="preserve">Siphon</w:t>
      </w:r>
    </w:p>
    <w:p>
      <w:pPr>
        <w:pPr/>
        <w:numPr>
          <w:ilvl w:val="0"/>
          <w:numId w:val="27"/>
        </w:numPr>
      </w:pPr>
      <w:r>
        <w:rPr/>
        <w:t xml:space="preserve">Joints (préciser la désignation des joints selon EN 14241-1)</w:t>
      </w:r>
    </w:p>
    <w:p>
      <w:pPr>
        <w:pPr/>
        <w:numPr>
          <w:ilvl w:val="0"/>
          <w:numId w:val="27"/>
        </w:numPr>
      </w:pPr>
      <w:r>
        <w:rPr/>
        <w:t xml:space="preserve">Dispositifs d'obturation et de maintenance</w:t>
      </w:r>
    </w:p>
    <w:p>
      <w:pPr>
        <w:pPr/>
        <w:numPr>
          <w:ilvl w:val="0"/>
          <w:numId w:val="27"/>
        </w:numPr>
      </w:pPr>
      <w:r>
        <w:rPr/>
        <w:t xml:space="preserve">Accessoires</w:t>
      </w:r>
    </w:p>
    <w:p>
      <w:pPr/>
      <w:r>
        <w:rPr>
          <w:b/>
          <w:bCs/>
        </w:rPr>
        <w:t xml:space="preserve">Justification</w:t>
      </w:r>
    </w:p>
    <w:p>
      <w:pPr/>
      <w:r>
        <w:rPr/>
        <w:t xml:space="preserve">Justifications liées au marquage CE :</w:t>
      </w:r>
    </w:p>
    <w:p>
      <w:pPr>
        <w:pPr/>
        <w:numPr>
          <w:ilvl w:val="0"/>
          <w:numId w:val="28"/>
        </w:numPr>
      </w:pPr>
      <w:r>
        <w:rPr/>
        <w:t xml:space="preserve">Rapports d'essai du marquage CE</w:t>
      </w:r>
    </w:p>
    <w:p>
      <w:pPr>
        <w:pPr/>
        <w:numPr>
          <w:ilvl w:val="0"/>
          <w:numId w:val="28"/>
        </w:numPr>
      </w:pPr>
      <w:r>
        <w:rPr/>
        <w:t xml:space="preserve">Certificat de CPU du marquage CE</w:t>
      </w:r>
    </w:p>
    <w:p>
      <w:pPr>
        <w:pPr/>
        <w:numPr>
          <w:ilvl w:val="0"/>
          <w:numId w:val="28"/>
        </w:numPr>
      </w:pPr>
      <w:r>
        <w:rPr/>
        <w:t xml:space="preserve">Déclaration de Performance (DoP) pour l'ensemble des produits</w:t>
      </w:r>
    </w:p>
    <w:p>
      <w:pPr/>
      <w:r>
        <w:rPr/>
        <w:t xml:space="preserve">Autres essais :</w:t>
      </w:r>
    </w:p>
    <w:p>
      <w:pPr>
        <w:pPr/>
        <w:numPr>
          <w:ilvl w:val="0"/>
          <w:numId w:val="29"/>
        </w:numPr>
      </w:pPr>
      <w:r>
        <w:rPr/>
        <w:t xml:space="preserve">Essai d'étanchéité du conduit d'amenée d'air selon l'EN 14989-2 (si non intégré aux rapports d'essai de marquage CE)</w:t>
      </w:r>
    </w:p>
    <w:p>
      <w:pPr>
        <w:pPr/>
        <w:numPr>
          <w:ilvl w:val="0"/>
          <w:numId w:val="29"/>
        </w:numPr>
      </w:pPr>
      <w:r>
        <w:rPr/>
        <w:t xml:space="preserve">Essai d'étanchéité du siphon à la pression de fonctionnement maximale du conduit</w:t>
      </w:r>
    </w:p>
    <w:p>
      <w:pPr>
        <w:pPr/>
        <w:numPr>
          <w:ilvl w:val="0"/>
          <w:numId w:val="29"/>
        </w:numPr>
      </w:pPr>
      <w:r>
        <w:rPr/>
        <w:t xml:space="preserve">Essai d'étanchéité des dispositifs d'obturation et de maintenance à la pression de fonctionnement maximale du conduit</w:t>
      </w:r>
    </w:p>
    <w:p>
      <w:pPr>
        <w:pPr/>
        <w:numPr>
          <w:ilvl w:val="0"/>
          <w:numId w:val="29"/>
        </w:numPr>
      </w:pPr>
      <w:r>
        <w:rPr/>
        <w:t xml:space="preserve">Essai de recirculation des terminaux concentriques (selon protocole de l'EN 14989-1)</w:t>
      </w:r>
    </w:p>
    <w:p>
      <w:pPr>
        <w:pPr/>
        <w:numPr>
          <w:ilvl w:val="0"/>
          <w:numId w:val="29"/>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30"/>
        </w:numPr>
      </w:pPr>
      <w:r>
        <w:rPr/>
        <w:t xml:space="preserve">Pour les siphons : l’essai est réalisé sur le siphon, la purge et un élément droit de 1 m.</w:t>
      </w:r>
    </w:p>
    <w:p>
      <w:pPr>
        <w:pPr/>
        <w:numPr>
          <w:ilvl w:val="0"/>
          <w:numId w:val="30"/>
        </w:numPr>
      </w:pPr>
      <w:r>
        <w:rPr/>
        <w:t xml:space="preserve">Pour les dispositifs d'obturation et de maintenance : l’essai est réalisé sur le bouchon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31"/>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31"/>
        </w:numPr>
      </w:pPr>
      <w:r>
        <w:rPr/>
        <w:t xml:space="preserve">pour les terminaux : taux de recirculation moyen conforme à l'exigence de l'EN 14989-1</w:t>
      </w:r>
    </w:p>
    <w:p>
      <w:pPr>
        <w:pPr/>
        <w:numPr>
          <w:ilvl w:val="0"/>
          <w:numId w:val="31"/>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31"/>
        </w:numPr>
      </w:pPr>
      <w:r>
        <w:rPr/>
        <w:t xml:space="preserve">pour les dispositifs d'obturation et de maintenance, le critère d’étanchéité à considérer est équivalent à celui d’un conduit de diamètre 80/125 mm de 1 m de longueur. Soit :</w:t>
      </w:r>
    </w:p>
    <w:p>
      <w:pPr>
        <w:pPr/>
        <w:numPr>
          <w:ilvl w:val="1"/>
          <w:numId w:val="31"/>
        </w:numPr>
      </w:pPr>
      <w:r>
        <w:rPr/>
        <w:t xml:space="preserve">0,0015 l/s pour le conduit d’évacuation des produits de combustion (sous 200 Pa pour un conduit P1 et sous 200 Pa et 5000 Pa pour un conduit H1)</w:t>
      </w:r>
    </w:p>
    <w:p>
      <w:pPr>
        <w:pPr/>
        <w:numPr>
          <w:ilvl w:val="1"/>
          <w:numId w:val="31"/>
        </w:numPr>
      </w:pPr>
      <w:r>
        <w:rPr/>
        <w:t xml:space="preserve">0,11 l/s sous 40 Pa pour le conduit d’amenée d’air.</w:t>
      </w:r>
    </w:p>
    <w:p>
      <w:pPr>
        <w:ind w:left="720" w:right="0"/>
      </w:pPr>
      <w:r>
        <w:rPr>
          <w:rStyle w:val="font_h2"/>
        </w:rPr>
        <w:t xml:space="preserve">4.5. Identification des éléments</w:t>
      </w:r>
    </w:p>
    <w:p>
      <w:pPr/>
      <w:r>
        <w:rPr/>
        <w:t xml:space="preserve">Validé par le Groupe Spécialisé le 06/10/2017</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ind w:left="720" w:right="0"/>
      </w:pPr>
      <w:r>
        <w:rPr>
          <w:rStyle w:val="font_h2"/>
        </w:rPr>
        <w:t xml:space="preserve">4.6. Identification des ouvrages</w:t>
      </w:r>
    </w:p>
    <w:p>
      <w:pPr/>
      <w:r>
        <w:rPr/>
        <w:t xml:space="preserve">Validé par le Groupe Spécialisé le 24/10/2019</w:t>
      </w:r>
    </w:p>
    <w:p>
      <w:pPr/>
      <w:r>
        <w:rPr>
          <w:b/>
          <w:bCs/>
        </w:rPr>
        <w:t xml:space="preserve">Description</w:t>
      </w:r>
    </w:p>
    <w:p>
      <w:pPr/>
      <w:r>
        <w:rPr/>
        <w:t xml:space="preserve">Indiquer le contenu de la plaque signalétique de l'ouvrage et son positionnement (à proximité de chaque piquage et en pied de conduit collectif vertical à proximité de la trappe d'accès).</w:t>
      </w:r>
    </w:p>
    <w:p>
      <w:pPr/>
      <w:r>
        <w:rPr/>
        <w:t xml:space="preserve">Elle précise au minimum :</w:t>
      </w:r>
    </w:p>
    <w:p>
      <w:pPr>
        <w:pPr/>
        <w:numPr>
          <w:ilvl w:val="0"/>
          <w:numId w:val="32"/>
        </w:numPr>
      </w:pPr>
      <w:r>
        <w:rPr/>
        <w:t xml:space="preserve">« Appareils raccordés sur un système 3CEp » et le nom du système ;</w:t>
      </w:r>
    </w:p>
    <w:p>
      <w:pPr>
        <w:pPr/>
        <w:numPr>
          <w:ilvl w:val="0"/>
          <w:numId w:val="32"/>
        </w:numPr>
      </w:pPr>
      <w:r>
        <w:rPr/>
        <w:t xml:space="preserve">le numéro du Document Technique d'Application ;</w:t>
      </w:r>
    </w:p>
    <w:p>
      <w:pPr>
        <w:pPr/>
        <w:numPr>
          <w:ilvl w:val="0"/>
          <w:numId w:val="32"/>
        </w:numPr>
      </w:pPr>
      <w:r>
        <w:rPr/>
        <w:t xml:space="preserve">la désignation de l'ouvrage et la référence à la NF EN 1443 ;</w:t>
      </w:r>
    </w:p>
    <w:p>
      <w:pPr>
        <w:pPr/>
        <w:numPr>
          <w:ilvl w:val="0"/>
          <w:numId w:val="32"/>
        </w:numPr>
      </w:pPr>
      <w:r>
        <w:rPr/>
        <w:t xml:space="preserve">la date de pose et le nom de l'entreprise ;</w:t>
      </w:r>
    </w:p>
    <w:p>
      <w:pPr>
        <w:pPr/>
        <w:numPr>
          <w:ilvl w:val="0"/>
          <w:numId w:val="32"/>
        </w:numPr>
      </w:pPr>
      <w:r>
        <w:rPr/>
        <w:t xml:space="preserve">l'obligation, en cas d'intervention sur la chambre de combustion de l'appareil ou de dépose de l'appareil ou de son conduit de raccordement, de mettre en place le dispositif d'obturation et de maintenance sur le piquage ;</w:t>
      </w:r>
    </w:p>
    <w:p>
      <w:pPr>
        <w:pPr/>
        <w:numPr>
          <w:ilvl w:val="0"/>
          <w:numId w:val="32"/>
        </w:numPr>
      </w:pPr>
      <w:r>
        <w:rPr/>
        <w:t xml:space="preserve">l'obligation d'entretien annuel.</w:t>
      </w:r>
    </w:p>
    <w:p>
      <w:pPr/>
      <w:r>
        <w:rPr>
          <w:b/>
          <w:bCs/>
        </w:rPr>
        <w:t xml:space="preserve">Illustration</w:t>
      </w:r>
    </w:p>
    <w:p>
      <w:pPr/>
      <w:r>
        <w:rPr/>
        <w:t xml:space="preserve">Fournir un exemple de plaque signalétique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06/10/2017</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06/10/2017</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06/10/2017</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06/10/2017</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24/10/2019</w:t>
      </w:r>
    </w:p>
    <w:p>
      <w:pPr/>
      <w:r>
        <w:rPr>
          <w:b/>
          <w:bCs/>
        </w:rPr>
        <w:t xml:space="preserve">Description</w:t>
      </w:r>
    </w:p>
    <w:p>
      <w:pPr/>
      <w:r>
        <w:rPr/>
        <w:t xml:space="preserve">Indiquer les prescriptions générales de dimensionnement et de conception du système par renvoi au Cahier des Prescriptions Techniques Communes (e-cahier du CSTB n° 3766_V2) concernant les systèmes de conduits collectifs pour chaudières étanches en pression (3CEp).</w:t>
      </w:r>
    </w:p>
    <w:p>
      <w:pPr>
        <w:ind w:left="720" w:right="0"/>
      </w:pPr>
      <w:r>
        <w:rPr>
          <w:rStyle w:val="font_h2"/>
        </w:rPr>
        <w:t xml:space="preserve">6.2. Règles de conception générales</w:t>
      </w:r>
    </w:p>
    <w:p>
      <w:pPr/>
      <w:r>
        <w:rPr/>
        <w:t xml:space="preserve">Validé par le Groupe Spécialisé le 24/10/2019</w:t>
      </w:r>
    </w:p>
    <w:p>
      <w:pPr/>
      <w:r>
        <w:rPr>
          <w:b/>
          <w:bCs/>
        </w:rPr>
        <w:t xml:space="preserve">Description</w:t>
      </w:r>
    </w:p>
    <w:p>
      <w:pPr/>
      <w:r>
        <w:rPr/>
        <w:t xml:space="preserve">Préciser qui assure le dimensionnement de l'installation tel que prévu par le  Cahier des Prescriptions Techniques Communes (e-cahier du CSTB n° 3766_V2) concernant les systèmes de conduits collectifs pour chaudières étanches en pression (3CEp).</w:t>
      </w:r>
    </w:p>
    <w:p>
      <w:pPr>
        <w:ind w:left="720" w:right="0"/>
      </w:pPr>
      <w:r>
        <w:rPr>
          <w:rStyle w:val="font_h2"/>
        </w:rPr>
        <w:t xml:space="preserve">6.3. Règles de conception particulières dans les bâtiments d'habitation</w:t>
      </w:r>
    </w:p>
    <w:p>
      <w:pPr/>
      <w:r>
        <w:rPr/>
        <w:t xml:space="preserve">Validé par le Groupe Spécialisé le 04/02/2021</w:t>
      </w:r>
    </w:p>
    <w:p>
      <w:pPr/>
      <w:r>
        <w:rPr>
          <w:b/>
          <w:bCs/>
        </w:rPr>
        <w:t xml:space="preserve">Description</w:t>
      </w:r>
    </w:p>
    <w:p>
      <w:pPr/>
      <w:r>
        <w:rPr/>
        <w:t xml:space="preserve">Tel que prévu par le  Cahier des Prescriptions Techniques Communes (e-cahier du CSTB n° 3766_V2) concernant les systèmes de conduits collectifs pour chaudières étanches en pression (3CEp) préciser dans quelles familles de bâtiments d'habitation le système peut être installé.</w:t>
      </w:r>
    </w:p>
    <w:p>
      <w:pPr/>
      <w:r>
        <w:rPr/>
        <w:t xml:space="preserve">Si ces configurations sont prévues :</w:t>
      </w:r>
    </w:p>
    <w:p>
      <w:pPr>
        <w:pPr/>
        <w:numPr>
          <w:ilvl w:val="0"/>
          <w:numId w:val="33"/>
        </w:numPr>
      </w:pPr>
      <w:r>
        <w:rPr/>
        <w:t xml:space="preserve">préciser quelles sont les dispositions spécifiques pour le montage en EPE et en Alvéole Technique Gaz, y compris les dispositions permettant la conservation de la ventilation existante de l'ATG</w:t>
      </w:r>
    </w:p>
    <w:p>
      <w:pPr>
        <w:pPr/>
        <w:numPr>
          <w:ilvl w:val="0"/>
          <w:numId w:val="33"/>
        </w:numPr>
      </w:pPr>
      <w:r>
        <w:rPr/>
        <w:t xml:space="preserve">préciser quelles sont les dispositions spécifiques pour la réutilisation de conduit de fumée collectif (*) comprenant le diagnostic de l'ouvrage existant et les dispositions de conception permettant la restitution des caractéristiques du conduit vis-à-vis de la sécurité en cas d'incendie.</w:t>
      </w:r>
    </w:p>
    <w:p>
      <w:pPr/>
      <w:r>
        <w:rPr/>
        <w:t xml:space="preserve">(*) Dans le cas de remplacement d'un appareil de type B1 comportant un coupe-tirage servant de ventilation haute, et situé dans le volume habitable, il convient de restituer une ventilation haute du local. La ventilation haute doit être restituée par un système indépendant du présent système. Elle doit permettre de maintenir le principe de ventilation d’origine et le cas échéant les débits de ventilation existants, en respectant la règlementation applicable pour ces bâtiments.</w:t>
      </w:r>
    </w:p>
    <w:p>
      <w:pPr/>
      <w:r>
        <w:rPr>
          <w:b/>
          <w:bCs/>
        </w:rPr>
        <w:t xml:space="preserve">Critères d'évaluation</w:t>
      </w:r>
    </w:p>
    <w:p>
      <w:pPr/>
      <w:r>
        <w:rPr/>
        <w:t xml:space="preserve">Conformité aux réglementations relatives aux installations de gaz et à la sécurité en cas d'incendie.</w:t>
      </w:r>
    </w:p>
    <w:p>
      <w:pPr/>
      <w:r>
        <w:rPr/>
        <w:t xml:space="preserve">Dans le cas de la réutilisation de conduits existants,  le rebouchage des orifices existants ou créés sur le conduit Shunt (ou Alsace) existant doivent être réalisés en ciment ou en plâtre et brique plâtrière d’une épaisseur égale à celle de la paroi du conduit existant.</w:t>
      </w:r>
    </w:p>
    <w:p>
      <w:pPr>
        <w:ind w:left="720" w:right="0"/>
      </w:pPr>
      <w:r>
        <w:rPr>
          <w:rStyle w:val="font_h2"/>
        </w:rPr>
        <w:t xml:space="preserve">6.4. Règles de conception particulières dans les bâtiments relevant du Code du Travail</w:t>
      </w:r>
    </w:p>
    <w:p>
      <w:pPr/>
      <w:r>
        <w:rPr/>
        <w:t xml:space="preserve">Validé par le Groupe Spécialisé le 06/10/2017</w:t>
      </w:r>
    </w:p>
    <w:p>
      <w:pPr/>
      <w:r>
        <w:rPr>
          <w:b/>
          <w:bCs/>
        </w:rPr>
        <w:t xml:space="preserve">Description</w:t>
      </w:r>
    </w:p>
    <w:p>
      <w:pPr/>
      <w:r>
        <w:rPr/>
        <w:t xml:space="preserve">Préciser les dispositions de conception à prévoir par renvoi aux dispositions du Code du Travail.</w:t>
      </w:r>
    </w:p>
    <w:p>
      <w:pPr/>
      <w:r>
        <w:rPr>
          <w:b/>
          <w:bCs/>
        </w:rPr>
        <w:t xml:space="preserve">Critères d'évaluation</w:t>
      </w:r>
    </w:p>
    <w:p>
      <w:pPr/>
      <w:r>
        <w:rPr/>
        <w:t xml:space="preserve">Conformité aux dispositions du Code du Travail</w:t>
      </w:r>
    </w:p>
    <w:p>
      <w:pPr>
        <w:ind w:left="720" w:right="0"/>
      </w:pPr>
      <w:r>
        <w:rPr>
          <w:rStyle w:val="font_h2"/>
        </w:rPr>
        <w:t xml:space="preserve">6.5. Règles de conception particulières dans les Etablissements Recevant du Public</w:t>
      </w:r>
    </w:p>
    <w:p>
      <w:pPr/>
      <w:r>
        <w:rPr/>
        <w:t xml:space="preserve">Validé par le Groupe Spécialisé le 06/10/2017</w:t>
      </w:r>
    </w:p>
    <w:p>
      <w:pPr/>
      <w:r>
        <w:rPr>
          <w:b/>
          <w:bCs/>
        </w:rPr>
        <w:t xml:space="preserve">Description</w:t>
      </w:r>
    </w:p>
    <w:p>
      <w:pPr/>
      <w:r>
        <w:rPr/>
        <w:t xml:space="preserve">Préciser les dispositions de conception à prévoir par renvoi aux dispositions prévues par la réglementation applicable aux ERP.</w:t>
      </w:r>
    </w:p>
    <w:p>
      <w:pPr/>
      <w:r>
        <w:rPr/>
        <w:t xml:space="preserve">Préciser les catégories d'établissement et les types de locaux dans lequel un système 3CEp peut être installé</w:t>
      </w:r>
    </w:p>
    <w:p>
      <w:pPr/>
      <w:r>
        <w:rPr>
          <w:b/>
          <w:bCs/>
        </w:rPr>
        <w:t xml:space="preserve">Critères d'évaluation</w:t>
      </w:r>
    </w:p>
    <w:p>
      <w:pPr/>
      <w:r>
        <w:rPr/>
        <w:t xml:space="preserve">Vérification du respect de la réglementation applicable aux ERP.</w:t>
      </w:r>
    </w:p>
    <w:p>
      <w:pPr>
        <w:ind w:left="720" w:right="0"/>
      </w:pPr>
      <w:r>
        <w:rPr>
          <w:rStyle w:val="font_h2"/>
        </w:rPr>
        <w:t xml:space="preserve">6.6. Position des terminaux</w:t>
      </w:r>
    </w:p>
    <w:p>
      <w:pPr/>
      <w:r>
        <w:rPr/>
        <w:t xml:space="preserve">Validé par le Groupe Spécialisé le 24/10/2019</w:t>
      </w:r>
    </w:p>
    <w:p>
      <w:pPr/>
      <w:r>
        <w:rPr>
          <w:b/>
          <w:bCs/>
        </w:rPr>
        <w:t xml:space="preserve">Description</w:t>
      </w:r>
    </w:p>
    <w:p>
      <w:pPr/>
      <w:r>
        <w:rPr/>
        <w:t xml:space="preserve">Préciser la position des terminaux, à minima, en renvoyant aux dispositions  du Cahier des Prescriptions Techniques Communes (e-cahier du CSTB n° 3766_V2) et si nécessaire en les complétant par des dispositions spécifiques au système.</w:t>
      </w:r>
    </w:p>
    <w:p>
      <w:pPr/>
      <w:r>
        <w:rPr>
          <w:b/>
          <w:bCs/>
        </w:rPr>
        <w:t xml:space="preserve">Critères d'évaluation</w:t>
      </w:r>
    </w:p>
    <w:p>
      <w:pPr/>
      <w:r>
        <w:rPr/>
        <w:t xml:space="preserve">Respect d'une dilution des produits de combustion dans l'atmosphère suffisante  pour éviter une recirculation dans les bâtiments.</w:t>
      </w:r>
    </w:p>
    <w:p>
      <w:pPr/>
      <w:r>
        <w:rPr/>
        <w:t xml:space="preserve">Les distances prévues dans le Cahier des Prescriptions Techniques Communes (e-cahier du CSTB n° 3766_V2) sont réputées satisfaire à cette exigence.</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24/10/2019</w:t>
      </w:r>
    </w:p>
    <w:p>
      <w:pPr/>
      <w:r>
        <w:rPr>
          <w:b/>
          <w:bCs/>
        </w:rPr>
        <w:t xml:space="preserve">Description</w:t>
      </w:r>
    </w:p>
    <w:p>
      <w:pPr/>
      <w:r>
        <w:rPr/>
        <w:t xml:space="preserve">Préciser pour chaque version du système les règles de mise en oeuvre des conduits en respectant celles du Cahier des Prescriptions Techniques Communes (e-cahier du CSTB n° 3766_V2).</w:t>
      </w:r>
    </w:p>
    <w:p>
      <w:pPr/>
      <w:r>
        <w:rPr/>
        <w:t xml:space="preserve">Préciser pour chaque version du système, la distance de sécurité à respecter.</w:t>
      </w:r>
    </w:p>
    <w:p>
      <w:pPr>
        <w:ind w:left="720" w:right="0"/>
      </w:pPr>
      <w:r>
        <w:rPr>
          <w:rStyle w:val="font_h2"/>
        </w:rPr>
        <w:t xml:space="preserve">7.2. Raccordement des appareils à gaz au système</w:t>
      </w:r>
    </w:p>
    <w:p>
      <w:pPr/>
      <w:r>
        <w:rPr/>
        <w:t xml:space="preserve">Validé par le Groupe Spécialisé le 06/10/2017</w:t>
      </w:r>
    </w:p>
    <w:p>
      <w:pPr/>
      <w:r>
        <w:rPr>
          <w:b/>
          <w:bCs/>
        </w:rPr>
        <w:t xml:space="preserve">Description</w:t>
      </w:r>
    </w:p>
    <w:p>
      <w:pPr/>
      <w:r>
        <w:rPr/>
        <w:t xml:space="preserve">Préciser comment est assurée la raccordement des appareils à gaz au système 3CEP et l'évacuation des condensats.</w:t>
      </w:r>
    </w:p>
    <w:p>
      <w:pPr>
        <w:ind w:left="720" w:right="0"/>
      </w:pPr>
      <w:r>
        <w:rPr>
          <w:rStyle w:val="font_h2"/>
        </w:rPr>
        <w:t xml:space="preserve">7.3. Plaque signalétique</w:t>
      </w:r>
    </w:p>
    <w:p>
      <w:pPr/>
      <w:r>
        <w:rPr/>
        <w:t xml:space="preserve">Validé par le Groupe Spécialisé le 24/10/2019</w:t>
      </w:r>
    </w:p>
    <w:p>
      <w:pPr/>
      <w:r>
        <w:rPr>
          <w:b/>
          <w:bCs/>
        </w:rPr>
        <w:t xml:space="preserve">Description</w:t>
      </w:r>
    </w:p>
    <w:p>
      <w:pPr/>
      <w:r>
        <w:rPr/>
        <w:t xml:space="preserve">Fournir un exemple de plaque signalétique du système à apposer à proximité de chaque piquage et en pied de conduit collectif vertical à proximité de la trapped'accès.</w:t>
      </w:r>
    </w:p>
    <w:p>
      <w:pPr/>
      <w:r>
        <w:rPr/>
        <w:t xml:space="preserve">La plaque doit comporter les informations minimales prévues dans le Cahier des Prescriptions Techniques Communes (e-cahier n°3766_V2).</w:t>
      </w:r>
    </w:p>
    <w:p>
      <w:pPr/>
      <w:r>
        <w:rPr>
          <w:rStyle w:val="font_h1"/>
        </w:rPr>
        <w:t xml:space="preserve">8. Vérification du système 3CEp</w:t>
      </w:r>
    </w:p>
    <w:p>
      <w:pPr/>
      <w:r>
        <w:rPr/>
        <w:t xml:space="preserve">Validé par le Groupe Spécialisé le 24/10/2019</w:t>
      </w:r>
    </w:p>
    <w:p>
      <w:pPr/>
      <w:r>
        <w:rPr>
          <w:b/>
          <w:bCs/>
        </w:rPr>
        <w:t xml:space="preserve">Description</w:t>
      </w:r>
    </w:p>
    <w:p>
      <w:pPr/>
      <w:r>
        <w:rPr/>
        <w:t xml:space="preserve">Préciser que la vérification de la bonne installation du système 3CEp est réalisée selon les préconisations du Cahier des Prescriptions Techniques communes (e-cahier du CSTB n°3766_V2) concernant les systèmes de conduits collectifs pour chaudières étanches en pression (3CEp).</w:t>
      </w:r>
    </w:p>
    <w:p>
      <w:pPr/>
      <w:r>
        <w:rPr>
          <w:rStyle w:val="font_h1"/>
        </w:rPr>
        <w:t xml:space="preserve">9. Vérification et mise en service de l'installation</w:t>
      </w:r>
    </w:p>
    <w:p>
      <w:pPr/>
      <w:r>
        <w:rPr/>
        <w:t xml:space="preserve">Validé par le Groupe Spécialisé le 24/10/2019</w:t>
      </w:r>
    </w:p>
    <w:p>
      <w:pPr/>
      <w:r>
        <w:rPr>
          <w:b/>
          <w:bCs/>
        </w:rPr>
        <w:t xml:space="preserve">Description</w:t>
      </w:r>
    </w:p>
    <w:p>
      <w:pPr/>
      <w:r>
        <w:rPr/>
        <w:t xml:space="preserve">Préciser que la mise en service de l'installation est réalisée selon les préconisations du Cahier des Prescriptions Techniques communes (e-cahier du CSTB n°3766_V2) concernant les systèmes de conduits collectifs pour chaudières étanches en pression (3CEp).</w:t>
      </w:r>
    </w:p>
    <w:p>
      <w:pPr/>
      <w:r>
        <w:rPr>
          <w:rStyle w:val="font_h1"/>
        </w:rPr>
        <w:t xml:space="preserve">10. Entretien</w:t>
      </w:r>
    </w:p>
    <w:p>
      <w:pPr/>
      <w:r>
        <w:rPr/>
        <w:t xml:space="preserve">Validé par le Groupe Spécialisé le 24/10/2019</w:t>
      </w:r>
    </w:p>
    <w:p>
      <w:pPr/>
      <w:r>
        <w:rPr>
          <w:b/>
          <w:bCs/>
        </w:rPr>
        <w:t xml:space="preserve">Description</w:t>
      </w:r>
    </w:p>
    <w:p>
      <w:pPr/>
      <w:r>
        <w:rPr/>
        <w:t xml:space="preserve">Préciser comment est assurée l'accès au pied du système 3CEp afin d'assurer l'entretien du système 3CEp dans les conditions prévues par le Cahier des Prescriptions Techniques Communes (e-cahier du CSTB n° 3766_V2)</w:t>
      </w:r>
    </w:p>
    <w:p>
      <w:pPr/>
      <w:r>
        <w:rPr>
          <w:rStyle w:val="font_h1"/>
        </w:rPr>
        <w:t xml:space="preserve">11. Assistance technique et distribution commerciale</w:t>
      </w:r>
    </w:p>
    <w:p>
      <w:pPr/>
      <w:r>
        <w:rPr/>
        <w:t xml:space="preserve">Validé par le Groupe Spécialisé le 06/10/2017</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AE99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ADA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9B3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E22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F67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0A3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715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5F0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C27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557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F348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0A62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73AE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3543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2B52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012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2552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DD94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AEBB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4221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C371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B1DC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838D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F3E1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0456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2026-06-25T21:17:28+02:00</dcterms:created>
  <dcterms:modified xsi:type="dcterms:W3CDTF">2026-06-25T21:17:28+02:00</dcterms:modified>
</cp:coreProperties>
</file>

<file path=docProps/custom.xml><?xml version="1.0" encoding="utf-8"?>
<Properties xmlns="http://schemas.openxmlformats.org/officeDocument/2006/custom-properties" xmlns:vt="http://schemas.openxmlformats.org/officeDocument/2006/docPropsVTypes"/>
</file>