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23/06/2026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Encadrement et appui de baie</w:t>
      </w:r>
    </w:p>
    <w:p>
      <w:pPr/>
      <w:r>
        <w:rPr>
          <w:rStyle w:val="font_h1"/>
        </w:rPr>
        <w:t xml:space="preserve">1. Évolution de la jurisprudence en 2017-2018</w:t>
      </w:r>
    </w:p>
    <w:p>
      <w:pPr/>
      <w:r>
        <w:rPr/>
        <w:t xml:space="preserve">Validé par le Groupe Spécialisé le 16/02/2018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Cette famille "Encadrement et appuis de baie" n'a pas fait l'objet d'une évolution de jurisprudence du GS16 en 2017 et 2018.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2026-06-23T23:07:06+02:00</dcterms:created>
  <dcterms:modified xsi:type="dcterms:W3CDTF">2026-06-23T23:07:06+02:00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