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18/10/2025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Mur en briques de terre cuite</w:t>
      </w:r>
    </w:p>
    <w:p>
      <w:pPr/>
      <w:r>
        <w:rPr>
          <w:rStyle w:val="font_h1"/>
        </w:rPr>
        <w:t xml:space="preserve">1. Principe</w:t>
      </w:r>
    </w:p>
    <w:p>
      <w:pPr/>
      <w:r>
        <w:rPr/>
        <w:t xml:space="preserve">Validé par le Groupe Spécialisé le 22/06/2023</w:t>
      </w:r>
    </w:p>
    <w:p>
      <w:pPr/>
      <w:r>
        <w:rPr>
          <w:b/>
          <w:bCs/>
        </w:rPr>
        <w:t xml:space="preserve">Description</w:t>
      </w:r>
    </w:p>
    <w:p>
      <w:pPr/>
      <w:r>
        <w:rPr/>
        <w:t xml:space="preserve">Principe de réalisation des murs :</w:t>
      </w:r>
    </w:p>
    <w:p>
      <w:pPr>
        <w:pPr/>
        <w:numPr>
          <w:ilvl w:val="0"/>
          <w:numId w:val="9"/>
        </w:numPr>
      </w:pPr>
      <w:r>
        <w:rPr/>
        <w:t xml:space="preserve">Type de mortier ou colle de montage ;</w:t>
      </w:r>
    </w:p>
    <w:p>
      <w:pPr>
        <w:pPr/>
        <w:numPr>
          <w:ilvl w:val="0"/>
          <w:numId w:val="9"/>
        </w:numPr>
      </w:pPr>
      <w:r>
        <w:rPr/>
        <w:t xml:space="preserve">Présence de matériau isolant dans les éléments de maçonnerie.</w:t>
      </w:r>
    </w:p>
    <w:p>
      <w:pPr/>
      <w:r>
        <w:rPr/>
        <w:t xml:space="preserve">Revêtements intérieurs et extérieurs applicables (murs de façade et murs enterrés) Indication du classement du produit au sens du DTU 26.1 (Rt1, 2 ou 3) et des classes d'enduits visées.</w:t>
      </w:r>
    </w:p>
    <w:p>
      <w:pPr/>
      <w:r>
        <w:rPr>
          <w:rStyle w:val="font_h1"/>
        </w:rPr>
        <w:t xml:space="preserve">2. Domaine d'emploi</w:t>
      </w:r>
    </w:p>
    <w:p>
      <w:pPr/>
      <w:r>
        <w:rPr/>
        <w:t xml:space="preserve">Validé par le Groupe Spécialisé le 29/03/2022</w:t>
      </w:r>
    </w:p>
    <w:p>
      <w:pPr/>
      <w:r>
        <w:rPr>
          <w:b/>
          <w:bCs/>
        </w:rPr>
        <w:t xml:space="preserve">Description</w:t>
      </w:r>
    </w:p>
    <w:p>
      <w:pPr>
        <w:pPr/>
        <w:numPr>
          <w:ilvl w:val="0"/>
          <w:numId w:val="10"/>
        </w:numPr>
      </w:pPr>
      <w:r>
        <w:rPr/>
        <w:t xml:space="preserve">Type de constructions visées : bâtiments d’habitation ≤50m au sens de l’arrêté du 31 janvier 1986 modifié (1ère famille, 2ème famille, 3ème famille et/ou 4ème famille), établissements relevant du code du travail au sens du décret 92-332, ERP au sens de l’arrêté du 25 juin 1980 modifié et/ou IGH au sens de l’arrêté du 30 décembre 2011. </w:t>
      </w:r>
    </w:p>
    <w:p>
      <w:pPr>
        <w:pPr/>
        <w:numPr>
          <w:ilvl w:val="0"/>
          <w:numId w:val="10"/>
        </w:numPr>
      </w:pPr>
      <w:r>
        <w:rPr/>
        <w:t xml:space="preserve">Zone géographique visée : France européenne et/ou ultramarine</w:t>
      </w:r>
    </w:p>
    <w:p>
      <w:pPr>
        <w:pPr/>
        <w:numPr>
          <w:ilvl w:val="0"/>
          <w:numId w:val="10"/>
        </w:numPr>
      </w:pPr>
      <w:r>
        <w:rPr/>
        <w:t xml:space="preserve">Catégorie d’ouvrages visés au sens de l’arrêté du 22 octobre 2010 modifié : I, II, III ou IV</w:t>
      </w:r>
    </w:p>
    <w:p>
      <w:pPr>
        <w:pPr/>
        <w:numPr>
          <w:ilvl w:val="0"/>
          <w:numId w:val="10"/>
        </w:numPr>
      </w:pPr>
      <w:r>
        <w:rPr/>
        <w:t xml:space="preserve">Zones sismiques visées au sens de l’arrêté du 22 octobre 2010 modifié : 1, 2, 3, 4 ou 5</w:t>
      </w:r>
    </w:p>
    <w:p>
      <w:pPr>
        <w:pPr/>
        <w:numPr>
          <w:ilvl w:val="0"/>
          <w:numId w:val="10"/>
        </w:numPr>
      </w:pPr>
      <w:r>
        <w:rPr/>
        <w:t xml:space="preserve">Type de joints verticaux visés : joint vertical sec, joint vertical mince (1 à 3 mm de mortier performanciel) et/ou joint vertical épais</w:t>
      </w:r>
    </w:p>
    <w:p>
      <w:pPr>
        <w:pPr/>
        <w:numPr>
          <w:ilvl w:val="0"/>
          <w:numId w:val="10"/>
        </w:numPr>
      </w:pPr>
      <w:r>
        <w:rPr/>
        <w:t xml:space="preserve">Type d’isolation : Isolation Thermique par l’intérieure (ITI), Isolation Thermique Répartie (ITR) et/ou Isolation Thermique par l’Extérieur (ITE).</w:t>
      </w:r>
    </w:p>
    <w:p>
      <w:pPr>
        <w:pPr/>
        <w:numPr>
          <w:ilvl w:val="0"/>
          <w:numId w:val="10"/>
        </w:numPr>
      </w:pPr>
      <w:r>
        <w:rPr/>
        <w:t xml:space="preserve">Type de maçonnerie visée : maçonnerie de remplissage, maçonnerie non armée, maçonnerie confinée et/ou maçonnerie armée…</w:t>
      </w:r>
    </w:p>
    <w:p>
      <w:pPr/>
      <w:r>
        <w:rPr>
          <w:rStyle w:val="font_h1"/>
        </w:rPr>
        <w:t xml:space="preserve">3. Éléments constitutifs des murs</w:t>
      </w:r>
    </w:p>
    <w:p>
      <w:pPr>
        <w:ind w:left="720" w:right="0"/>
      </w:pPr>
      <w:r>
        <w:rPr>
          <w:rStyle w:val="font_h2"/>
        </w:rPr>
        <w:t xml:space="preserve">3.1. Éléments de maçonnerie en partie courante</w:t>
      </w:r>
    </w:p>
    <w:p>
      <w:pPr/>
      <w:r>
        <w:rPr/>
        <w:t xml:space="preserve">Validé par le Groupe Spécialisé le 29/03/2022</w:t>
      </w:r>
    </w:p>
    <w:p>
      <w:pPr/>
      <w:r>
        <w:rPr>
          <w:b/>
          <w:bCs/>
        </w:rPr>
        <w:t xml:space="preserve">Description</w:t>
      </w:r>
    </w:p>
    <w:p>
      <w:pPr>
        <w:pPr/>
        <w:numPr>
          <w:ilvl w:val="0"/>
          <w:numId w:val="11"/>
        </w:numPr>
      </w:pPr>
      <w:r>
        <w:rPr/>
        <w:t xml:space="preserve">description, désignation et classification selon tous les critères de la norme produit NF EN 771-1 s’appliquant à l’élément de maçonnerie, classement en groupe de mur au sens de l’Eurocode 6.</w:t>
      </w:r>
    </w:p>
    <w:p>
      <w:pPr>
        <w:pPr/>
        <w:numPr>
          <w:ilvl w:val="0"/>
          <w:numId w:val="11"/>
        </w:numPr>
      </w:pPr>
      <w:r>
        <w:rPr/>
        <w:t xml:space="preserve">fiche technique de l’élément.</w:t>
      </w:r>
    </w:p>
    <w:p>
      <w:pPr>
        <w:ind w:left="720" w:right="0"/>
      </w:pPr>
      <w:r>
        <w:rPr>
          <w:rStyle w:val="font_h2"/>
        </w:rPr>
        <w:t xml:space="preserve">3.2. Éléments de maçonnerie accessoires</w:t>
      </w:r>
    </w:p>
    <w:p>
      <w:pPr/>
      <w:r>
        <w:rPr/>
        <w:t xml:space="preserve">Validé par le Groupe Spécialisé le 29/03/2022</w:t>
      </w:r>
    </w:p>
    <w:p>
      <w:pPr/>
      <w:r>
        <w:rPr>
          <w:b/>
          <w:bCs/>
        </w:rPr>
        <w:t xml:space="preserve">Description</w:t>
      </w:r>
    </w:p>
    <w:p>
      <w:pPr>
        <w:pPr/>
        <w:numPr>
          <w:ilvl w:val="0"/>
          <w:numId w:val="12"/>
        </w:numPr>
      </w:pPr>
      <w:r>
        <w:rPr/>
        <w:t xml:space="preserve">description, désignation et classification selon tous les critères de la norme produit NF EN 771-1 s’appliquant à l’élément de maçonnerie.</w:t>
      </w:r>
    </w:p>
    <w:p>
      <w:pPr>
        <w:pPr/>
        <w:numPr>
          <w:ilvl w:val="0"/>
          <w:numId w:val="12"/>
        </w:numPr>
      </w:pPr>
      <w:r>
        <w:rPr/>
        <w:t xml:space="preserve">fiche technique de l’élément.</w:t>
      </w:r>
    </w:p>
    <w:p>
      <w:pPr>
        <w:ind w:left="720" w:right="0"/>
      </w:pPr>
      <w:r>
        <w:rPr>
          <w:rStyle w:val="font_h2"/>
        </w:rPr>
        <w:t xml:space="preserve">3.3. Mortier de montage</w:t>
      </w:r>
    </w:p>
    <w:p>
      <w:pPr/>
      <w:r>
        <w:rPr/>
        <w:t xml:space="preserve">Validé par le Groupe Spécialisé le 22/06/2023</w:t>
      </w:r>
    </w:p>
    <w:p>
      <w:pPr/>
      <w:r>
        <w:rPr>
          <w:b/>
          <w:bCs/>
        </w:rPr>
        <w:t xml:space="preserve">Description</w:t>
      </w:r>
    </w:p>
    <w:p>
      <w:pPr/>
      <w:r>
        <w:rPr/>
        <w:t xml:space="preserve">Dans le cas d’un mortier traditionnel :</w:t>
      </w:r>
    </w:p>
    <w:p>
      <w:pPr>
        <w:pPr/>
        <w:numPr>
          <w:ilvl w:val="0"/>
          <w:numId w:val="13"/>
        </w:numPr>
      </w:pPr>
      <w:r>
        <w:rPr/>
        <w:t xml:space="preserve">description, désignation et classification selon la NF EN 1996-1-1 et éventuellement selon norme produit NF EN 998-2 associée aux mortiers industriels</w:t>
      </w:r>
    </w:p>
    <w:p>
      <w:pPr>
        <w:pPr/>
        <w:numPr>
          <w:ilvl w:val="0"/>
          <w:numId w:val="13"/>
        </w:numPr>
      </w:pPr>
      <w:r>
        <w:rPr/>
        <w:t xml:space="preserve">fiche technique du mortier</w:t>
      </w:r>
    </w:p>
    <w:p>
      <w:pPr>
        <w:pPr/>
        <w:numPr>
          <w:ilvl w:val="0"/>
          <w:numId w:val="13"/>
        </w:numPr>
      </w:pPr>
      <w:r>
        <w:rPr/>
        <w:t xml:space="preserve">le taux de gâchage minimal et maximal</w:t>
      </w:r>
    </w:p>
    <w:p>
      <w:pPr/>
      <w:r>
        <w:rPr/>
        <w:t xml:space="preserve">Dans le cas d’une colle non traditionnelle :</w:t>
      </w:r>
    </w:p>
    <w:p>
      <w:pPr>
        <w:pPr/>
        <w:numPr>
          <w:ilvl w:val="0"/>
          <w:numId w:val="14"/>
        </w:numPr>
      </w:pPr>
      <w:r>
        <w:rPr/>
        <w:t xml:space="preserve">fiche technique de la colle</w:t>
      </w:r>
    </w:p>
    <w:p>
      <w:pPr>
        <w:pPr/>
        <w:numPr>
          <w:ilvl w:val="0"/>
          <w:numId w:val="14"/>
        </w:numPr>
      </w:pPr>
      <w:r>
        <w:rPr/>
        <w:t xml:space="preserve">composition chimique</w:t>
      </w:r>
    </w:p>
    <w:p>
      <w:pPr>
        <w:pPr/>
        <w:numPr>
          <w:ilvl w:val="0"/>
          <w:numId w:val="14"/>
        </w:numPr>
      </w:pPr>
      <w:r>
        <w:rPr/>
        <w:t xml:space="preserve">mode de conditionnement</w:t>
      </w:r>
    </w:p>
    <w:p>
      <w:pPr>
        <w:pPr/>
        <w:numPr>
          <w:ilvl w:val="0"/>
          <w:numId w:val="14"/>
        </w:numPr>
      </w:pPr>
      <w:r>
        <w:rPr/>
        <w:t xml:space="preserve">durée de conservation, d’utilisation une fois ouvert</w:t>
      </w:r>
    </w:p>
    <w:p>
      <w:pPr>
        <w:ind w:left="720" w:right="0"/>
      </w:pPr>
      <w:r>
        <w:rPr>
          <w:rStyle w:val="font_h2"/>
        </w:rPr>
        <w:t xml:space="preserve">3.4. Information CE et DE</w:t>
      </w:r>
    </w:p>
    <w:p>
      <w:pPr/>
      <w:r>
        <w:rPr/>
        <w:t xml:space="preserve">Validé par le Groupe Spécialisé le 23/03/2017</w:t>
      </w:r>
    </w:p>
    <w:p>
      <w:pPr/>
      <w:r>
        <w:rPr>
          <w:b/>
          <w:bCs/>
        </w:rPr>
        <w:t xml:space="preserve">Description</w:t>
      </w:r>
    </w:p>
    <w:p>
      <w:pPr/>
      <w:r>
        <w:rPr/>
        <w:t xml:space="preserve">Informations accompagnant le marquage CE et les performances environnementales et sanitaires</w:t>
      </w:r>
    </w:p>
    <w:p>
      <w:pPr/>
      <w:r>
        <w:rPr>
          <w:rStyle w:val="font_h1"/>
        </w:rPr>
        <w:t xml:space="preserve">4. Fabrication et Contrôles</w:t>
      </w:r>
    </w:p>
    <w:p>
      <w:pPr/>
      <w:r>
        <w:rPr/>
        <w:t xml:space="preserve">Validé par le Groupe Spécialisé le 22/06/2023</w:t>
      </w:r>
    </w:p>
    <w:p>
      <w:pPr/>
      <w:r>
        <w:rPr>
          <w:b/>
          <w:bCs/>
        </w:rPr>
        <w:t xml:space="preserve">Description</w:t>
      </w:r>
    </w:p>
    <w:p>
      <w:pPr/>
      <w:r>
        <w:rPr/>
        <w:t xml:space="preserve">Éléments de maçonnerie :</w:t>
      </w:r>
    </w:p>
    <w:p>
      <w:pPr>
        <w:pPr/>
        <w:numPr>
          <w:ilvl w:val="0"/>
          <w:numId w:val="15"/>
        </w:numPr>
      </w:pPr>
      <w:r>
        <w:rPr/>
        <w:t xml:space="preserve">Liste des usines </w:t>
      </w:r>
    </w:p>
    <w:p>
      <w:pPr>
        <w:pPr/>
        <w:numPr>
          <w:ilvl w:val="0"/>
          <w:numId w:val="15"/>
        </w:numPr>
      </w:pPr>
      <w:r>
        <w:rPr/>
        <w:t xml:space="preserve">Liste des éléments produits dans chaque usine</w:t>
      </w:r>
    </w:p>
    <w:p>
      <w:pPr>
        <w:pPr/>
        <w:numPr>
          <w:ilvl w:val="0"/>
          <w:numId w:val="15"/>
        </w:numPr>
      </w:pPr>
      <w:r>
        <w:rPr/>
        <w:t xml:space="preserve">Description du processus de fabrication</w:t>
      </w:r>
    </w:p>
    <w:p>
      <w:pPr>
        <w:pPr/>
        <w:numPr>
          <w:ilvl w:val="0"/>
          <w:numId w:val="15"/>
        </w:numPr>
      </w:pPr>
      <w:r>
        <w:rPr/>
        <w:t xml:space="preserve">Tolérances de fabrication</w:t>
      </w:r>
    </w:p>
    <w:p>
      <w:pPr>
        <w:pPr/>
        <w:numPr>
          <w:ilvl w:val="0"/>
          <w:numId w:val="15"/>
        </w:numPr>
      </w:pPr>
      <w:r>
        <w:rPr/>
        <w:t xml:space="preserve">Nature et fréquence des contrôles de production</w:t>
      </w:r>
    </w:p>
    <w:p>
      <w:pPr>
        <w:pPr/>
        <w:numPr>
          <w:ilvl w:val="0"/>
          <w:numId w:val="15"/>
        </w:numPr>
      </w:pPr>
      <w:r>
        <w:rPr/>
        <w:t xml:space="preserve">Description du marquage apposé sur les éléments</w:t>
      </w:r>
    </w:p>
    <w:p>
      <w:pPr>
        <w:pPr/>
        <w:numPr>
          <w:ilvl w:val="0"/>
          <w:numId w:val="15"/>
        </w:numPr>
      </w:pPr>
      <w:r>
        <w:rPr/>
        <w:t xml:space="preserve">Certification tierce partie</w:t>
      </w:r>
    </w:p>
    <w:p>
      <w:pPr>
        <w:pPr/>
        <w:numPr>
          <w:ilvl w:val="0"/>
          <w:numId w:val="15"/>
        </w:numPr>
      </w:pPr>
      <w:r>
        <w:rPr/>
        <w:t xml:space="preserve">Conditionnement</w:t>
      </w:r>
    </w:p>
    <w:p>
      <w:pPr/>
      <w:r>
        <w:rPr/>
        <w:t xml:space="preserve">Colle de montage :</w:t>
      </w:r>
    </w:p>
    <w:p>
      <w:pPr>
        <w:pPr/>
        <w:numPr>
          <w:ilvl w:val="0"/>
          <w:numId w:val="16"/>
        </w:numPr>
      </w:pPr>
      <w:r>
        <w:rPr/>
        <w:t xml:space="preserve">Liste des usines </w:t>
      </w:r>
    </w:p>
    <w:p>
      <w:pPr>
        <w:pPr/>
        <w:numPr>
          <w:ilvl w:val="0"/>
          <w:numId w:val="16"/>
        </w:numPr>
      </w:pPr>
      <w:r>
        <w:rPr/>
        <w:t xml:space="preserve">Description du processus de fabrication</w:t>
      </w:r>
    </w:p>
    <w:p>
      <w:pPr>
        <w:pPr/>
        <w:numPr>
          <w:ilvl w:val="0"/>
          <w:numId w:val="16"/>
        </w:numPr>
      </w:pPr>
      <w:r>
        <w:rPr/>
        <w:t xml:space="preserve">Tolérances de fabrication</w:t>
      </w:r>
    </w:p>
    <w:p>
      <w:pPr>
        <w:pPr/>
        <w:numPr>
          <w:ilvl w:val="0"/>
          <w:numId w:val="16"/>
        </w:numPr>
      </w:pPr>
      <w:r>
        <w:rPr/>
        <w:t xml:space="preserve">Nature et fréquence des contrôles de production</w:t>
      </w:r>
    </w:p>
    <w:p>
      <w:pPr>
        <w:pPr/>
        <w:numPr>
          <w:ilvl w:val="0"/>
          <w:numId w:val="16"/>
        </w:numPr>
      </w:pPr>
      <w:r>
        <w:rPr/>
        <w:t xml:space="preserve">Certification tierce partie le cas échéant</w:t>
      </w:r>
    </w:p>
    <w:p>
      <w:pPr>
        <w:pPr/>
        <w:numPr>
          <w:ilvl w:val="0"/>
          <w:numId w:val="16"/>
        </w:numPr>
      </w:pPr>
      <w:r>
        <w:rPr/>
        <w:t xml:space="preserve">Conditionnement et marquage apposé</w:t>
      </w:r>
    </w:p>
    <w:p>
      <w:pPr/>
      <w:r>
        <w:rPr>
          <w:rStyle w:val="font_h1"/>
        </w:rPr>
        <w:t xml:space="preserve">5. Mise en oeuvre</w:t>
      </w:r>
    </w:p>
    <w:p>
      <w:pPr/>
      <w:r>
        <w:rPr/>
        <w:t xml:space="preserve">Validé par le Groupe Spécialisé le 29/03/2022</w:t>
      </w:r>
    </w:p>
    <w:p>
      <w:pPr/>
      <w:r>
        <w:rPr>
          <w:b/>
          <w:bCs/>
        </w:rPr>
        <w:t xml:space="preserve">Description</w:t>
      </w:r>
    </w:p>
    <w:p>
      <w:pPr/>
      <w:r>
        <w:rPr/>
        <w:t xml:space="preserve">Note : tout ce qui est conforme à un référentiel existant (NF DTU 20.1 par exemple) peut être décrit dans le dossier par un simple renvoi.</w:t>
      </w:r>
    </w:p>
    <w:p>
      <w:pPr>
        <w:pPr/>
        <w:numPr>
          <w:ilvl w:val="0"/>
          <w:numId w:val="17"/>
        </w:numPr>
      </w:pPr>
      <w:r>
        <w:rPr/>
        <w:t xml:space="preserve">Principe général de la pose des éléments de maçonnerie : Principe de préparation du support et de réalisation du premier rang, Principe de réalisation des joints horizontaux et verticaux, Principe de montage en partie courante.</w:t>
      </w:r>
    </w:p>
    <w:p>
      <w:pPr>
        <w:pPr/>
        <w:numPr>
          <w:ilvl w:val="0"/>
          <w:numId w:val="17"/>
        </w:numPr>
      </w:pPr>
      <w:r>
        <w:rPr/>
        <w:t xml:space="preserve">Réalisation des jonctions : Jonctions façade-façade, Jonctions façade-refend, Jonctions façade-plancher, Jonctions façade-charpente, jonction façade-mur de soubassement.</w:t>
      </w:r>
    </w:p>
    <w:p>
      <w:pPr>
        <w:pPr/>
        <w:numPr>
          <w:ilvl w:val="0"/>
          <w:numId w:val="17"/>
        </w:numPr>
      </w:pPr>
      <w:r>
        <w:rPr/>
        <w:t xml:space="preserve">Réalisation des chaînages : Chaînages verticaux, Chaînages horizontaux.</w:t>
      </w:r>
    </w:p>
    <w:p>
      <w:pPr>
        <w:pPr/>
        <w:numPr>
          <w:ilvl w:val="0"/>
          <w:numId w:val="17"/>
        </w:numPr>
      </w:pPr>
      <w:r>
        <w:rPr/>
        <w:t xml:space="preserve">Réalisation des ouvertures :  Réalisation des tableaux des ouvertures, Réalisation des linteaux, Mode de liaison mur-menuiserie.</w:t>
      </w:r>
    </w:p>
    <w:p>
      <w:pPr>
        <w:pPr/>
        <w:numPr>
          <w:ilvl w:val="0"/>
          <w:numId w:val="17"/>
        </w:numPr>
      </w:pPr>
      <w:r>
        <w:rPr/>
        <w:t xml:space="preserve">Description de la réalisation des ouvrages spécifiques et revêtements associés : Réalisation de murs de soubassement, Réalisation de murs enterrés, Réalisation d’acrotères</w:t>
      </w:r>
    </w:p>
    <w:p>
      <w:pPr>
        <w:pPr/>
        <w:numPr>
          <w:ilvl w:val="0"/>
          <w:numId w:val="17"/>
        </w:numPr>
      </w:pPr>
      <w:r>
        <w:rPr/>
        <w:t xml:space="preserve">Préciser le poids de chaque élément de la gamme</w:t>
      </w:r>
    </w:p>
    <w:p>
      <w:pPr>
        <w:pPr/>
        <w:numPr>
          <w:ilvl w:val="0"/>
          <w:numId w:val="17"/>
        </w:numPr>
      </w:pPr>
      <w:r>
        <w:rPr/>
        <w:t xml:space="preserve">Décrire les outils prévus pour l’application de la colle</w:t>
      </w:r>
    </w:p>
    <w:p>
      <w:pPr>
        <w:pPr/>
        <w:numPr>
          <w:ilvl w:val="0"/>
          <w:numId w:val="17"/>
        </w:numPr>
      </w:pPr>
      <w:r>
        <w:rPr/>
        <w:t xml:space="preserve">Décrire comment la manutention des éléments est effectuée (présence ou non de « poignées » sur les éléments, positionnement de ces « poignées », description des outils de manutention utilisés…)</w:t>
      </w:r>
    </w:p>
    <w:p>
      <w:pPr>
        <w:pPr/>
        <w:numPr>
          <w:ilvl w:val="0"/>
          <w:numId w:val="17"/>
        </w:numPr>
      </w:pPr>
      <w:r>
        <w:rPr/>
        <w:t xml:space="preserve">Description de la mise en œuvre de l’enduit en partie courante et entre deux parties différentes de maçonnerie </w:t>
      </w:r>
    </w:p>
    <w:p>
      <w:pPr>
        <w:pPr/>
        <w:numPr>
          <w:ilvl w:val="0"/>
          <w:numId w:val="17"/>
        </w:numPr>
      </w:pPr>
      <w:r>
        <w:rPr/>
        <w:t xml:space="preserve">Mode de fixation d’objets lourds</w:t>
      </w:r>
    </w:p>
    <w:p>
      <w:pPr>
        <w:pPr/>
        <w:numPr>
          <w:ilvl w:val="0"/>
          <w:numId w:val="17"/>
        </w:numPr>
      </w:pPr>
      <w:r>
        <w:rPr/>
        <w:t xml:space="preserve">Mode de réalisation des saignées et des opérations de rebouchage</w:t>
      </w:r>
    </w:p>
    <w:p>
      <w:pPr>
        <w:pPr/>
        <w:numPr>
          <w:ilvl w:val="0"/>
          <w:numId w:val="17"/>
        </w:numPr>
      </w:pPr>
      <w:r>
        <w:rPr/>
        <w:t xml:space="preserve">Dispositions parasismiques</w:t>
      </w:r>
    </w:p>
    <w:p>
      <w:pPr/>
      <w:r>
        <w:rPr>
          <w:rStyle w:val="font_h1"/>
        </w:rPr>
        <w:t xml:space="preserve">6. Assistance technique</w:t>
      </w:r>
    </w:p>
    <w:p>
      <w:pPr/>
      <w:r>
        <w:rPr/>
        <w:t xml:space="preserve">Validé par le Groupe Spécialisé le 23/03/2017</w:t>
      </w:r>
    </w:p>
    <w:p>
      <w:pPr/>
      <w:r>
        <w:rPr>
          <w:b/>
          <w:bCs/>
        </w:rPr>
        <w:t xml:space="preserve">Description</w:t>
      </w:r>
    </w:p>
    <w:p>
      <w:pPr/>
      <w:r>
        <w:rPr/>
        <w:t xml:space="preserve">Exploitation commerciale, mode de distribution, nature et contenu de l’assistance technique prévue aux entreprises.</w:t>
      </w:r>
    </w:p>
    <w:p>
      <w:pPr/>
      <w:r>
        <w:rPr>
          <w:rStyle w:val="font_h1"/>
        </w:rPr>
        <w:t xml:space="preserve">7. Caractéristiques mécaniques</w:t>
      </w:r>
    </w:p>
    <w:p>
      <w:pPr>
        <w:ind w:left="720" w:right="0"/>
      </w:pPr>
      <w:r>
        <w:rPr>
          <w:rStyle w:val="font_h2"/>
        </w:rPr>
        <w:t xml:space="preserve">7.1. Mortier</w:t>
      </w:r>
    </w:p>
    <w:p>
      <w:pPr/>
      <w:r>
        <w:rPr/>
        <w:t xml:space="preserve">Validé par le Groupe Spécialisé le 23/03/2017</w:t>
      </w:r>
    </w:p>
    <w:p>
      <w:pPr/>
      <w:r>
        <w:rPr>
          <w:b/>
          <w:bCs/>
        </w:rPr>
        <w:t xml:space="preserve">Description</w:t>
      </w:r>
    </w:p>
    <w:p>
      <w:pPr/>
      <w:r>
        <w:rPr/>
        <w:t xml:space="preserve">Caractérisation de chaque mortier (poudre, pâte, produit durci), et compatibilité bloc-mortier (temps ouvert) pour les maçonneries à joints minces.</w:t>
      </w:r>
    </w:p>
    <w:p>
      <w:pPr/>
      <w:r>
        <w:rPr>
          <w:b/>
          <w:bCs/>
        </w:rPr>
        <w:t xml:space="preserve">Justification</w:t>
      </w:r>
    </w:p>
    <w:p>
      <w:pPr/>
      <w:r>
        <w:rPr/>
        <w:t xml:space="preserve">Essais normalisés selon la série de norme EN 1015 sauf le "Temps ouvert par Adhérence à 15 minutes" qui suit un protocole du GS16 et de la certification QB.</w:t>
      </w:r>
    </w:p>
    <w:p>
      <w:pPr/>
      <w:r>
        <w:rPr>
          <w:b/>
          <w:bCs/>
        </w:rPr>
        <w:t xml:space="preserve">Critères d'évaluation</w:t>
      </w:r>
    </w:p>
    <w:p>
      <w:pPr>
        <w:pPr/>
        <w:numPr>
          <w:ilvl w:val="0"/>
          <w:numId w:val="18"/>
        </w:numPr>
      </w:pPr>
      <w:r>
        <w:rPr/>
        <w:t xml:space="preserve">Temps ouvert par Adhérence à 15 minutes : 0,2 MPa minimum.</w:t>
      </w:r>
    </w:p>
    <w:p>
      <w:pPr>
        <w:pPr/>
        <w:numPr>
          <w:ilvl w:val="0"/>
          <w:numId w:val="18"/>
        </w:numPr>
      </w:pPr>
      <w:r>
        <w:rPr/>
        <w:t xml:space="preserve">Adhérence par traction pure : ≥ 0,6 MPa pour brique terre cuite</w:t>
      </w:r>
    </w:p>
    <w:p>
      <w:pPr>
        <w:ind w:left="720" w:right="0"/>
      </w:pPr>
      <w:r>
        <w:rPr>
          <w:rStyle w:val="font_h2"/>
        </w:rPr>
        <w:t xml:space="preserve">7.2. Mur sous charges verticales</w:t>
      </w:r>
    </w:p>
    <w:p>
      <w:pPr/>
      <w:r>
        <w:rPr/>
        <w:t xml:space="preserve">Validé par le Groupe Spécialisé le 22/06/2023</w:t>
      </w:r>
    </w:p>
    <w:p>
      <w:pPr/>
      <w:r>
        <w:rPr>
          <w:b/>
          <w:bCs/>
        </w:rPr>
        <w:t xml:space="preserve">Description</w:t>
      </w:r>
    </w:p>
    <w:p>
      <w:pPr/>
      <w:r>
        <w:rPr/>
        <w:t xml:space="preserve">Pour chaque type d’élément de maçonnerie utilisable en mur porteur, indiquer la résistance caractéristique ou de dimensionnement des murs sous charge verticale.</w:t>
      </w:r>
    </w:p>
    <w:p>
      <w:pPr/>
      <w:r>
        <w:rPr>
          <w:b/>
          <w:bCs/>
        </w:rPr>
        <w:t xml:space="preserve">Justification</w:t>
      </w:r>
    </w:p>
    <w:p>
      <w:pPr/>
      <w:r>
        <w:rPr/>
        <w:t xml:space="preserve">L'évaluation de la résistance caractéristique est réalisée dans la plupart des cas sur la base de la norme NF EN  1052-1.</w:t>
      </w:r>
    </w:p>
    <w:p>
      <w:pPr/>
      <w:r>
        <w:rPr>
          <w:b/>
          <w:bCs/>
        </w:rPr>
        <w:t xml:space="preserve">Critères d'évaluation</w:t>
      </w:r>
    </w:p>
    <w:p>
      <w:pPr/>
      <w:r>
        <w:rPr/>
        <w:t xml:space="preserve">L'évaluation est réalisée dans tous les cas en conformité avec l'Eurocode 0. Pour les maçonneries justifiées selon la norme NF EN  1052-1, l'interprétation est faisable selon l'annexe A de cette norme. À défaut d’essais sur toute la gamme, possibilité de justifier les éléments non testés par une étude.</w:t>
      </w:r>
    </w:p>
    <w:p>
      <w:pPr/>
      <w:r>
        <w:rPr/>
        <w:t xml:space="preserve">Lorsque le domaine d’emploi le nécessite et dans le cas de joints dont l’épaisseur est très faible (inférieure à 1 mm), il est nécessaire de mesurer l’impact des tolérances de fabrication des éléments de maçonnerie sur la résistance sous charge verticale.</w:t>
      </w:r>
    </w:p>
    <w:p>
      <w:pPr/>
      <w:r>
        <w:rPr/>
        <w:t xml:space="preserve">Pour les maçonneries montées aux colles organiques, au regard du domaine d’emploi limité au R+1+Comble, le suivi de type QB07 ou NF554 de la valeur de fk n’est pas nécessaire.</w:t>
      </w:r>
    </w:p>
    <w:p>
      <w:pPr>
        <w:ind w:left="720" w:right="0"/>
      </w:pPr>
      <w:r>
        <w:rPr>
          <w:rStyle w:val="font_h2"/>
        </w:rPr>
        <w:t xml:space="preserve">7.3. Mur sous charges latérales dans le plan</w:t>
      </w:r>
    </w:p>
    <w:p>
      <w:pPr/>
      <w:r>
        <w:rPr/>
        <w:t xml:space="preserve">Validé par le Groupe Spécialisé le 13/11/2024</w:t>
      </w:r>
    </w:p>
    <w:p>
      <w:pPr/>
      <w:r>
        <w:rPr>
          <w:b/>
          <w:bCs/>
        </w:rPr>
        <w:t xml:space="preserve">Description</w:t>
      </w:r>
    </w:p>
    <w:p>
      <w:pPr/>
      <w:r>
        <w:rPr/>
        <w:t xml:space="preserve">Indiquer les dispositions constructives, le modèle de calcul et les performances utiles au dimensionnement des murs sous action de vent.</w:t>
      </w:r>
    </w:p>
    <w:p>
      <w:pPr/>
      <w:r>
        <w:rPr>
          <w:b/>
          <w:bCs/>
        </w:rPr>
        <w:t xml:space="preserve">Justification</w:t>
      </w:r>
    </w:p>
    <w:p>
      <w:pPr/>
      <w:r>
        <w:rPr/>
        <w:t xml:space="preserve">Différents modes de preuves sont possibles :</w:t>
      </w:r>
    </w:p>
    <w:p>
      <w:pPr>
        <w:pPr/>
        <w:numPr>
          <w:ilvl w:val="0"/>
          <w:numId w:val="19"/>
        </w:numPr>
      </w:pPr>
      <w:r>
        <w:rPr/>
        <w:t xml:space="preserve">Si le procédé le permet, alors un renvoi au NF DTU 20.1 et aux règles de calculs de l'Eurocode est envisageable (éventuellement à l'aide du cahier du CSTB 3719) ;</w:t>
      </w:r>
    </w:p>
    <w:p>
      <w:pPr>
        <w:pPr/>
        <w:numPr>
          <w:ilvl w:val="0"/>
          <w:numId w:val="19"/>
        </w:numPr>
      </w:pPr>
      <w:r>
        <w:rPr/>
        <w:t xml:space="preserve">Dans les autres cas, une ou plusieurs caractéristiques doivent être testées : cisaillement, compression longitudinale, flexion hors plan voire le contreventement lui-même.</w:t>
      </w:r>
    </w:p>
    <w:p>
      <w:pPr/>
      <w:r>
        <w:rPr/>
        <w:t xml:space="preserve">Lors de l’introduction d’une nouvelle colle dans un procédé de mur en maçonnerie monté à joint mince, dans l’hypothèse où cette nouvelle colle présente une résistance initiale au cisaillement supérieure à la colle déjà évaluée dans des proportions comprises entre 0 et +30%, il n’est pas nécessaire de refaire des essais de contreventement à échelle 1 pour déterminer le coefficient de comportement.</w:t>
      </w:r>
    </w:p>
    <w:p>
      <w:pPr/>
      <w:r>
        <w:rPr/>
        <w:t xml:space="preserve">Dans une gamme de brique à cloisons longitudinales rectilignes, il est possible de tester une seule brique pour la résistance initiale au cisaillement, essai réalisé sans précharge, en choisissant celle qui présente la surface de collage la plus faible.</w:t>
      </w:r>
    </w:p>
    <w:p>
      <w:pPr/>
      <w:r>
        <w:rPr/>
        <w:t xml:space="preserve">Le traitement des joints verticaux avec les colles non traditionnelles ne doit pas être pris en compte dans la résistance des murs participant au contreventement. Les joints verticaux sont assimilés dans ce cas aux joints verticaux secs au sens du NF DTU 20.1 et de l’Eurocode 6.</w:t>
      </w:r>
    </w:p>
    <w:p>
      <w:pPr/>
      <w:r>
        <w:rPr>
          <w:b/>
          <w:bCs/>
        </w:rPr>
        <w:t xml:space="preserve">Critères d'évaluation</w:t>
      </w:r>
    </w:p>
    <w:p>
      <w:pPr/>
      <w:r>
        <w:rPr/>
        <w:t xml:space="preserve">Un exemple de note de calcul basé sur les caractéristiques justifiée doit permettre de couvrir le domaine d'emploi revendiqué.</w:t>
      </w:r>
    </w:p>
    <w:p>
      <w:pPr>
        <w:ind w:left="720" w:right="0"/>
      </w:pPr>
      <w:r>
        <w:rPr>
          <w:rStyle w:val="font_h2"/>
        </w:rPr>
        <w:t xml:space="preserve">7.4. Mur sous action sismique</w:t>
      </w:r>
    </w:p>
    <w:p>
      <w:pPr/>
      <w:r>
        <w:rPr/>
        <w:t xml:space="preserve">Validé par le Groupe Spécialisé le 29/03/2022</w:t>
      </w:r>
    </w:p>
    <w:p>
      <w:pPr/>
      <w:r>
        <w:rPr>
          <w:b/>
          <w:bCs/>
        </w:rPr>
        <w:t xml:space="preserve">Description</w:t>
      </w:r>
    </w:p>
    <w:p>
      <w:pPr/>
      <w:r>
        <w:rPr/>
        <w:t xml:space="preserve">Si les ouvrages nécessitant des dispositions parasismiques sont visés, les éléments de calcul doivent être indiqués : caractéristiques des murs, méthode de calcul et coefficient de comportement.</w:t>
      </w:r>
    </w:p>
    <w:p>
      <w:pPr/>
      <w:r>
        <w:rPr>
          <w:b/>
          <w:bCs/>
        </w:rPr>
        <w:t xml:space="preserve">Justification</w:t>
      </w:r>
    </w:p>
    <w:p>
      <w:pPr>
        <w:pPr/>
        <w:numPr>
          <w:ilvl w:val="0"/>
          <w:numId w:val="20"/>
        </w:numPr>
      </w:pPr>
      <w:r>
        <w:rPr/>
        <w:t xml:space="preserve">Justification par essais de contreventement sur mur de hauteur 3m et de longueur 3.5m sous chargement horizontal alterné.Le coefficient de comportement q cité dans l’Avis Technique sera le coefficient validé par essai, avec une valeur maximale de 2,5.En cas de non-fourniture d’un rapport d’essai de contreventement : q=1,5. La non-fourniture d’un rapport d’essai est limitée aux éléments de maçonnerie visés par une norme produit et par la norme NF EN 1998-1 (EC8).</w:t>
      </w:r>
    </w:p>
    <w:p>
      <w:pPr>
        <w:pPr/>
        <w:numPr>
          <w:ilvl w:val="0"/>
          <w:numId w:val="20"/>
        </w:numPr>
      </w:pPr>
      <w:r>
        <w:rPr/>
        <w:t xml:space="preserve">Si une longueur de contreventement inférieure à la longueur de contreventement minimum prévu par la norme NF EN 1996-1-1 (EC6) est visée, il est également nécessaire de prévoir un essai de contreventement sur un trumeau de longueur correspondant à la longueur visée.</w:t>
      </w:r>
    </w:p>
    <w:p>
      <w:pPr/>
      <w:r>
        <w:rPr>
          <w:b/>
          <w:bCs/>
        </w:rPr>
        <w:t xml:space="preserve">Critères d'évaluation</w:t>
      </w:r>
    </w:p>
    <w:p>
      <w:pPr/>
      <w:r>
        <w:rPr/>
        <w:t xml:space="preserve">Une note de calcul basée sur les éléments de justification et sur les principes définis dans l’Eurocode 0 doit permettre de couvrir le domaine d'emploi revendiqué.</w:t>
      </w:r>
    </w:p>
    <w:p>
      <w:pPr>
        <w:ind w:left="720" w:right="0"/>
      </w:pPr>
      <w:r>
        <w:rPr>
          <w:rStyle w:val="font_h2"/>
        </w:rPr>
        <w:t xml:space="preserve">7.5. Durabilité des performances mécaniques</w:t>
      </w:r>
    </w:p>
    <w:p>
      <w:pPr/>
      <w:r>
        <w:rPr/>
        <w:t xml:space="preserve">Validé par le Groupe Spécialisé le 22/06/2023</w:t>
      </w:r>
    </w:p>
    <w:p>
      <w:pPr/>
      <w:r>
        <w:rPr>
          <w:b/>
          <w:bCs/>
        </w:rPr>
        <w:t xml:space="preserve">Description</w:t>
      </w:r>
    </w:p>
    <w:p>
      <w:pPr/>
      <w:r>
        <w:rPr/>
        <w:t xml:space="preserve">Dans le cas des maçonneries montées aux colles organiques, si le domaine d’emploi le nécessite, la durabilité des performances mécaniques doit être justifiées pour la durée d’exploitation de l’ouvrage. Cette durée est normalement de 50 ans.</w:t>
      </w:r>
    </w:p>
    <w:p>
      <w:pPr/>
      <w:r>
        <w:rPr>
          <w:b/>
          <w:bCs/>
        </w:rPr>
        <w:t xml:space="preserve">Justification</w:t>
      </w:r>
    </w:p>
    <w:p>
      <w:pPr/>
      <w:r>
        <w:rPr/>
        <w:t xml:space="preserve">Essais de vieillissement accéléré. La méthode choisie doit permettre de solliciter les colles organiques selon les environnements hygrothermiques et chimiques qu’elle connaitra au cours de la vie de l’ouvrage.</w:t>
      </w:r>
    </w:p>
    <w:p>
      <w:pPr/>
      <w:r>
        <w:rPr>
          <w:b/>
          <w:bCs/>
        </w:rPr>
        <w:t xml:space="preserve">Critères d'évaluation</w:t>
      </w:r>
    </w:p>
    <w:p>
      <w:pPr/>
      <w:r>
        <w:rPr/>
        <w:t xml:space="preserve">Performances mécaniques suffisantes à la fin de la durée d’exploitation.</w:t>
      </w:r>
    </w:p>
    <w:p>
      <w:pPr/>
      <w:r>
        <w:rPr>
          <w:rStyle w:val="font_h1"/>
        </w:rPr>
        <w:t xml:space="preserve">8. Résistance au feu</w:t>
      </w:r>
    </w:p>
    <w:p>
      <w:pPr/>
      <w:r>
        <w:rPr/>
        <w:t xml:space="preserve">Validé par le Groupe Spécialisé le 23/03/2017</w:t>
      </w:r>
    </w:p>
    <w:p>
      <w:pPr/>
      <w:r>
        <w:rPr>
          <w:b/>
          <w:bCs/>
        </w:rPr>
        <w:t xml:space="preserve">Description</w:t>
      </w:r>
    </w:p>
    <w:p>
      <w:pPr/>
      <w:r>
        <w:rPr/>
        <w:t xml:space="preserve">Lorsque le domaine d'emploi de requiert, la résistance au feu normalisée du procédé de maçonnerie doit être indiquée en conformité avec la réglementation.</w:t>
      </w:r>
    </w:p>
    <w:p>
      <w:pPr/>
      <w:r>
        <w:rPr>
          <w:b/>
          <w:bCs/>
        </w:rPr>
        <w:t xml:space="preserve">Justification</w:t>
      </w:r>
    </w:p>
    <w:p>
      <w:pPr/>
      <w:r>
        <w:rPr/>
        <w:t xml:space="preserve">PV de classement ou Appréciation de résistance au feu établi par un laboratoire agréé, couvrant les produits de la gamme, en précisant le type de jointoiement, la hauteur limite du mur, le ou les revêtements éventuellement appliqués, le type et le niveau de chargement limite vertical appliqué.</w:t>
      </w:r>
    </w:p>
    <w:p>
      <w:pPr/>
      <w:r>
        <w:rPr>
          <w:b/>
          <w:bCs/>
        </w:rPr>
        <w:t xml:space="preserve">Critères d'évaluation</w:t>
      </w:r>
    </w:p>
    <w:p>
      <w:pPr/>
      <w:r>
        <w:rPr/>
        <w:t xml:space="preserve">Le domaine d'emploi sera mis en cohérence avec les éléments de justification de la résistance au feu.</w:t>
      </w:r>
    </w:p>
    <w:p>
      <w:pPr/>
      <w:r>
        <w:rPr>
          <w:rStyle w:val="font_h1"/>
        </w:rPr>
        <w:t xml:space="preserve">9. Acoustique</w:t>
      </w:r>
    </w:p>
    <w:p>
      <w:pPr/>
      <w:r>
        <w:rPr/>
        <w:t xml:space="preserve">Validé par le Groupe Spécialisé le 22/06/2023</w:t>
      </w:r>
    </w:p>
    <w:p>
      <w:pPr/>
      <w:r>
        <w:rPr>
          <w:b/>
          <w:bCs/>
        </w:rPr>
        <w:t xml:space="preserve">Description</w:t>
      </w:r>
    </w:p>
    <w:p>
      <w:pPr/>
      <w:r>
        <w:rPr/>
        <w:t xml:space="preserve">En fonction du domaine d'emploi, des performances acoustiques peuvent être nécessaires vis-a-vis de l'isolement au bruit aérien.</w:t>
      </w:r>
    </w:p>
    <w:p>
      <w:pPr/>
      <w:r>
        <w:rPr>
          <w:b/>
          <w:bCs/>
        </w:rPr>
        <w:t xml:space="preserve">Justification</w:t>
      </w:r>
    </w:p>
    <w:p>
      <w:pPr>
        <w:pPr/>
        <w:numPr>
          <w:ilvl w:val="0"/>
          <w:numId w:val="21"/>
        </w:numPr>
      </w:pPr>
      <w:r>
        <w:rPr/>
        <w:t xml:space="preserve">Rapports d’essais de détermination des indices d’affaiblissement acoustique des murs de moins de 10 ans.</w:t>
      </w:r>
    </w:p>
    <w:p>
      <w:pPr>
        <w:pPr/>
        <w:numPr>
          <w:ilvl w:val="0"/>
          <w:numId w:val="21"/>
        </w:numPr>
      </w:pPr>
      <w:r>
        <w:rPr/>
        <w:t xml:space="preserve">PV acoustique donnant l’indice d’affaiblissement global Rw des parois</w:t>
      </w:r>
    </w:p>
    <w:p>
      <w:pPr>
        <w:pPr/>
        <w:numPr>
          <w:ilvl w:val="0"/>
          <w:numId w:val="21"/>
        </w:numPr>
      </w:pPr>
      <w:r>
        <w:rPr/>
        <w:t xml:space="preserve">Respect des exemples de solutions acoustiques publiés par le ministère chargé du logement.</w:t>
      </w:r>
    </w:p>
    <w:p>
      <w:pPr>
        <w:pPr/>
        <w:numPr>
          <w:ilvl w:val="0"/>
          <w:numId w:val="21"/>
        </w:numPr>
      </w:pPr>
      <w:r>
        <w:rPr/>
        <w:t xml:space="preserve">Si nécessaire, un calcul complémentaire.</w:t>
      </w:r>
    </w:p>
    <w:p>
      <w:pPr/>
      <w:r>
        <w:rPr>
          <w:b/>
          <w:bCs/>
        </w:rPr>
        <w:t xml:space="preserve">Critères d'évaluation</w:t>
      </w:r>
    </w:p>
    <w:p>
      <w:pPr/>
      <w:r>
        <w:rPr/>
        <w:t xml:space="preserve">Les éléments de justification doivent permettre de démontrer que le procédé est utilisable à minima dans les zones d'exposition les plus faibles moyennant éventuellement des dispositions complémentaires. Il est possible de se reporter aux exemples de solutions acoustiques.</w:t>
      </w:r>
    </w:p>
    <w:p>
      <w:pPr/>
      <w:r>
        <w:rPr>
          <w:rStyle w:val="font_h1"/>
        </w:rPr>
        <w:t xml:space="preserve">10. Thermique</w:t>
      </w:r>
    </w:p>
    <w:p>
      <w:pPr/>
      <w:r>
        <w:rPr/>
        <w:t xml:space="preserve">Validé par le Groupe Spécialisé le 29/03/2022</w:t>
      </w:r>
    </w:p>
    <w:p>
      <w:pPr/>
      <w:r>
        <w:rPr>
          <w:b/>
          <w:bCs/>
        </w:rPr>
        <w:t xml:space="preserve">Description</w:t>
      </w:r>
    </w:p>
    <w:p>
      <w:pPr/>
      <w:r>
        <w:rPr/>
        <w:t xml:space="preserve">Le dossier doit contenir l'ensemble des informations liées au procédé permettant de réaliser un calcul thermique de l'ouvrage à construire.</w:t>
      </w:r>
    </w:p>
    <w:p>
      <w:pPr/>
      <w:r>
        <w:rPr>
          <w:b/>
          <w:bCs/>
        </w:rPr>
        <w:t xml:space="preserve">Justification</w:t>
      </w:r>
    </w:p>
    <w:p>
      <w:pPr>
        <w:pPr/>
        <w:numPr>
          <w:ilvl w:val="0"/>
          <w:numId w:val="22"/>
        </w:numPr>
      </w:pPr>
      <w:r>
        <w:rPr/>
        <w:t xml:space="preserve">Fourniture de la valeur de la conductivité utile visée λ</w:t>
      </w:r>
      <w:r>
        <w:rPr>
          <w:vertAlign w:val="subscript"/>
        </w:rPr>
        <w:t xml:space="preserve">utile</w:t>
      </w:r>
      <w:r>
        <w:rPr/>
        <w:t xml:space="preserve"> pour chaque élément de la gamme</w:t>
      </w:r>
    </w:p>
    <w:p>
      <w:pPr>
        <w:pPr/>
        <w:numPr>
          <w:ilvl w:val="0"/>
          <w:numId w:val="22"/>
        </w:numPr>
      </w:pPr>
      <w:r>
        <w:rPr/>
        <w:t xml:space="preserve">Description du suivi de la conductivité thermique λ</w:t>
      </w:r>
      <w:r>
        <w:rPr>
          <w:vertAlign w:val="subscript"/>
        </w:rPr>
        <w:t xml:space="preserve">utile</w:t>
      </w:r>
      <w:r>
        <w:rPr/>
        <w:t xml:space="preserve"> (suivi par mesure directe ou bien par masse volumique absolue sèche)</w:t>
      </w:r>
    </w:p>
    <w:p>
      <w:pPr>
        <w:pPr/>
        <w:numPr>
          <w:ilvl w:val="0"/>
          <w:numId w:val="22"/>
        </w:numPr>
      </w:pPr>
      <w:r>
        <w:rPr/>
        <w:t xml:space="preserve">Validation des valeurs des coefficients de transmission thermique surfaciques pour chaque type de jointoiement prévu (y compris jointoiement spécifique en cas d’exigence sismique), et des valeurs des coefficients de transmission linéiques à la jonction des points singuliers les plus courants. </w:t>
      </w:r>
    </w:p>
    <w:p>
      <w:pPr/>
      <w:r>
        <w:rPr/>
        <w:t xml:space="preserve">NB : Pour les éléments qui ne sont pas certifiés : Possibilité d’utiliser les valeurs déclarées majorées de 15% selon les règles Th-Bât.</w:t>
      </w:r>
    </w:p>
    <w:p>
      <w:pPr/>
      <w:r>
        <w:rPr>
          <w:rStyle w:val="font_h1"/>
        </w:rPr>
        <w:t xml:space="preserve">11. Revêtements</w:t>
      </w:r>
    </w:p>
    <w:p>
      <w:pPr/>
      <w:r>
        <w:rPr/>
        <w:t xml:space="preserve">Validé par le Groupe Spécialisé le 22/06/2023</w:t>
      </w:r>
    </w:p>
    <w:p>
      <w:pPr/>
      <w:r>
        <w:rPr>
          <w:b/>
          <w:bCs/>
        </w:rPr>
        <w:t xml:space="preserve">Description</w:t>
      </w:r>
    </w:p>
    <w:p>
      <w:pPr/>
      <w:r>
        <w:rPr/>
        <w:t xml:space="preserve">Justification de la tenue des revêtements intérieurs et extérieurs visés.</w:t>
      </w:r>
    </w:p>
    <w:p>
      <w:pPr/>
      <w:r>
        <w:rPr>
          <w:b/>
          <w:bCs/>
        </w:rPr>
        <w:t xml:space="preserve">Justification</w:t>
      </w:r>
    </w:p>
    <w:p>
      <w:pPr>
        <w:pPr/>
        <w:numPr>
          <w:ilvl w:val="0"/>
          <w:numId w:val="23"/>
        </w:numPr>
      </w:pPr>
      <w:r>
        <w:rPr/>
        <w:t xml:space="preserve">Lorsque le matériau le permet, renvoi direct au classement des supports du NF DTU 26.1.</w:t>
      </w:r>
    </w:p>
    <w:p>
      <w:pPr>
        <w:pPr/>
        <w:numPr>
          <w:ilvl w:val="0"/>
          <w:numId w:val="23"/>
        </w:numPr>
      </w:pPr>
      <w:r>
        <w:rPr/>
        <w:t xml:space="preserve">Rapport d'essai d'adhérence selon les indications du NF DTU 26.1 pour l'extérieur ou </w:t>
      </w:r>
      <w:r>
        <w:rPr>
          <w:i/>
          <w:iCs/>
        </w:rPr>
        <w:t xml:space="preserve">protocole d'essai du GS16 pour les revêtements intérieurs</w:t>
      </w:r>
      <w:r>
        <w:rPr/>
        <w:t xml:space="preserve">.</w:t>
      </w:r>
    </w:p>
    <w:p>
      <w:pPr>
        <w:pPr/>
        <w:numPr>
          <w:ilvl w:val="0"/>
          <w:numId w:val="23"/>
        </w:numPr>
      </w:pPr>
      <w:r>
        <w:rPr/>
        <w:t xml:space="preserve">Si les éléments de maçonnerie incorporent des isolants, les classes d’enduit doivent être limitées en conséquence (au plus CSIII ou OC2 au sens du NF DTU 26.1).</w:t>
      </w:r>
    </w:p>
    <w:p>
      <w:pPr/>
      <w:r>
        <w:rPr>
          <w:b/>
          <w:bCs/>
        </w:rPr>
        <w:t xml:space="preserve">Critères d'évaluation</w:t>
      </w:r>
    </w:p>
    <w:p>
      <w:pPr>
        <w:pPr/>
        <w:numPr>
          <w:ilvl w:val="0"/>
          <w:numId w:val="24"/>
        </w:numPr>
      </w:pPr>
      <w:r>
        <w:rPr/>
        <w:t xml:space="preserve">L'essai des revêtements extérieurs doit permettre un classement selon le NF DTU 26.1. Sinon le système d'enduit utilisé sera spécifique au procédé (d'autres essais d'aptitude à l'emploi de l'enduit sont alors nécessaires).</w:t>
      </w:r>
    </w:p>
    <w:p>
      <w:pPr>
        <w:pPr/>
        <w:numPr>
          <w:ilvl w:val="0"/>
          <w:numId w:val="24"/>
        </w:numPr>
      </w:pPr>
      <w:r>
        <w:rPr/>
        <w:t xml:space="preserve">L'essai des revêtements intérieur doit permettre de justifier une adhérence minimale des enduits et des mortiers colle.</w:t>
      </w:r>
    </w:p>
    <w:p>
      <w:pPr/>
      <w:r>
        <w:rPr>
          <w:rStyle w:val="font_h1"/>
        </w:rPr>
        <w:t xml:space="preserve">12. Imperméabilité</w:t>
      </w:r>
    </w:p>
    <w:p>
      <w:pPr/>
      <w:r>
        <w:rPr/>
        <w:t xml:space="preserve">Validé par le Groupe Spécialisé le 23/03/2017</w:t>
      </w:r>
    </w:p>
    <w:p>
      <w:pPr/>
      <w:r>
        <w:rPr>
          <w:b/>
          <w:bCs/>
        </w:rPr>
        <w:t xml:space="preserve">Description</w:t>
      </w:r>
    </w:p>
    <w:p>
      <w:pPr/>
      <w:r>
        <w:rPr/>
        <w:t xml:space="preserve">Lorsque l'utilisation prévue des maçonneries le prévoit (maçonnerie apparentes, enterrées...) les dispositions permettant l'étanchéité à l'eau et à 'air doivent être décrites.</w:t>
      </w:r>
    </w:p>
    <w:p>
      <w:pPr/>
      <w:r>
        <w:rPr>
          <w:b/>
          <w:bCs/>
        </w:rPr>
        <w:t xml:space="preserve">Justification</w:t>
      </w:r>
    </w:p>
    <w:p>
      <w:pPr>
        <w:pPr/>
        <w:numPr>
          <w:ilvl w:val="0"/>
          <w:numId w:val="25"/>
        </w:numPr>
      </w:pPr>
      <w:r>
        <w:rPr/>
        <w:t xml:space="preserve">Pour maçonneries destinées à être laissées apparentes, essais d’imperméabilité à l’eau et à l’air.</w:t>
      </w:r>
    </w:p>
    <w:p>
      <w:pPr>
        <w:pPr/>
        <w:numPr>
          <w:ilvl w:val="0"/>
          <w:numId w:val="25"/>
        </w:numPr>
      </w:pPr>
      <w:r>
        <w:rPr/>
        <w:t xml:space="preserve">Pour une utilisation en mur de sous-sol, justification de l’efficacité des dispositions présentées au dossier technique.</w:t>
      </w:r>
    </w:p>
    <w:p>
      <w:pPr>
        <w:pPr/>
        <w:numPr>
          <w:ilvl w:val="0"/>
          <w:numId w:val="25"/>
        </w:numPr>
      </w:pPr>
      <w:r>
        <w:rPr/>
        <w:t xml:space="preserve">Certificats CE des produits d’imperméabilisation.</w:t>
      </w:r>
    </w:p>
    <w:p>
      <w:pPr/>
      <w:r>
        <w:rPr>
          <w:rStyle w:val="font_h1"/>
        </w:rPr>
        <w:t xml:space="preserve">13. Références</w:t>
      </w:r>
    </w:p>
    <w:p>
      <w:pPr/>
      <w:r>
        <w:rPr/>
        <w:t xml:space="preserve">Validé par le Groupe Spécialisé le 23/03/2017</w:t>
      </w:r>
    </w:p>
    <w:p>
      <w:pPr/>
      <w:r>
        <w:rPr>
          <w:b/>
          <w:bCs/>
        </w:rPr>
        <w:t xml:space="preserve">Description</w:t>
      </w:r>
    </w:p>
    <w:p>
      <w:pPr/>
      <w:r>
        <w:rPr/>
        <w:t xml:space="preserve">Fournir une liste de références pour enquête (Au moins un exemple de chantier pour chaque élément de la gamme). Pour chaque référence, préciser la situation, le type et la date de mise en service de l’ouvrage, ainsi que les coordonnées des principaux intervenants.</w:t>
      </w:r>
    </w:p>
    <w:p>
      <w:pPr/>
      <w:r>
        <w:rPr>
          <w:rStyle w:val="font_h1"/>
        </w:rPr>
        <w:t xml:space="preserve">14. Tableaux et figures du Dossier Technique</w:t>
      </w:r>
    </w:p>
    <w:p>
      <w:pPr/>
      <w:r>
        <w:rPr/>
        <w:t xml:space="preserve">Validé par le Groupe Spécialisé le 23/03/2017</w:t>
      </w:r>
    </w:p>
    <w:p>
      <w:pPr/>
      <w:r>
        <w:rPr>
          <w:b/>
          <w:bCs/>
        </w:rPr>
        <w:t xml:space="preserve">Description</w:t>
      </w:r>
    </w:p>
    <w:p>
      <w:pPr>
        <w:pPr/>
        <w:numPr>
          <w:ilvl w:val="0"/>
          <w:numId w:val="26"/>
        </w:numPr>
      </w:pPr>
      <w:r>
        <w:rPr/>
        <w:t xml:space="preserve">Dessins côtés des éléments de maçonnerie (courants et accessoires).</w:t>
      </w:r>
    </w:p>
    <w:p>
      <w:pPr>
        <w:pPr/>
        <w:numPr>
          <w:ilvl w:val="0"/>
          <w:numId w:val="26"/>
        </w:numPr>
      </w:pPr>
      <w:r>
        <w:rPr/>
        <w:t xml:space="preserve">Illustration des outils de pose. </w:t>
      </w:r>
    </w:p>
    <w:p>
      <w:pPr>
        <w:pPr/>
        <w:numPr>
          <w:ilvl w:val="0"/>
          <w:numId w:val="26"/>
        </w:numPr>
      </w:pPr>
      <w:r>
        <w:rPr/>
        <w:t xml:space="preserve">Dessins des ouvrages spécifiques (soubassement, murs enterrés, acrotères…)</w:t>
      </w:r>
    </w:p>
    <w:p>
      <w:pPr>
        <w:pPr/>
        <w:numPr>
          <w:ilvl w:val="0"/>
          <w:numId w:val="26"/>
        </w:numPr>
      </w:pPr>
      <w:r>
        <w:rPr/>
        <w:t xml:space="preserve">Pour une utilisation en acrotères, coupe verticale précisant le positionnement des aciers de continuité verticaux, la réalisation du relevé d’étanchéité et le renforcement d’enduit à la jonction acrotère-murs sous-jacent.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7799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17F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582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B19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C2EC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0B6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E2D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6164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A35C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62EE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412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0830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AAFD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18D4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B704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75A3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AFCD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8BB0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2025-10-18T08:32:47+02:00</dcterms:created>
  <dcterms:modified xsi:type="dcterms:W3CDTF">2025-10-18T08:32:47+02:00</dcterms:modified>
</cp:coreProperties>
</file>

<file path=docProps/custom.xml><?xml version="1.0" encoding="utf-8"?>
<Properties xmlns="http://schemas.openxmlformats.org/officeDocument/2006/custom-properties" xmlns:vt="http://schemas.openxmlformats.org/officeDocument/2006/docPropsVTypes"/>
</file>