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Isolation phonique sous carrelage</w:t>
      </w:r>
    </w:p>
    <w:p>
      <w:pPr/>
      <w:r>
        <w:rPr>
          <w:rStyle w:val="font_h1"/>
        </w:rPr>
        <w:t xml:space="preserve">1. Description</w:t>
      </w:r>
    </w:p>
    <w:p>
      <w:pPr/>
      <w:r>
        <w:rPr/>
        <w:t xml:space="preserve">Validé par le Groupe Spécialisé le 05/02/2019</w:t>
      </w:r>
    </w:p>
    <w:p>
      <w:pPr/>
      <w:r>
        <w:rPr>
          <w:b/>
          <w:bCs/>
        </w:rPr>
        <w:t xml:space="preserve">Description</w:t>
      </w:r>
    </w:p>
    <w:p>
      <w:pPr/>
      <w:r>
        <w:rPr/>
        <w:t xml:space="preserve">Description synthétique mais exhaustive du système acoustique en reprenant les points suivants à minima :  </w:t>
      </w:r>
    </w:p>
    <w:p>
      <w:pPr>
        <w:pPr/>
        <w:numPr>
          <w:ilvl w:val="0"/>
          <w:numId w:val="9"/>
        </w:numPr>
      </w:pPr>
      <w:r>
        <w:rPr/>
        <w:t xml:space="preserve">description du kit ;</w:t>
      </w:r>
    </w:p>
    <w:p>
      <w:pPr>
        <w:pPr/>
        <w:numPr>
          <w:ilvl w:val="0"/>
          <w:numId w:val="9"/>
        </w:numPr>
      </w:pPr>
      <w:r>
        <w:rPr/>
        <w:t xml:space="preserve">la destination du système ; </w:t>
      </w:r>
    </w:p>
    <w:p>
      <w:pPr>
        <w:pPr/>
        <w:numPr>
          <w:ilvl w:val="0"/>
          <w:numId w:val="9"/>
        </w:numPr>
      </w:pPr>
      <w:r>
        <w:rPr/>
        <w:t xml:space="preserve">la liste des différents composants du kit ; </w:t>
      </w:r>
    </w:p>
    <w:p>
      <w:pPr>
        <w:pPr/>
        <w:numPr>
          <w:ilvl w:val="0"/>
          <w:numId w:val="9"/>
        </w:numPr>
      </w:pPr>
      <w:r>
        <w:rPr/>
        <w:t xml:space="preserve">l'épaisseur totale du système une fois mis en œuvre ;</w:t>
      </w:r>
    </w:p>
    <w:p>
      <w:pPr/>
      <w:r>
        <w:rPr>
          <w:rStyle w:val="font_h1"/>
        </w:rPr>
        <w:t xml:space="preserve">2. Domaine d'emploi</w:t>
      </w:r>
    </w:p>
    <w:p>
      <w:pPr>
        <w:ind w:left="720" w:right="0"/>
      </w:pPr>
      <w:r>
        <w:rPr>
          <w:rStyle w:val="font_h2"/>
        </w:rPr>
        <w:t xml:space="preserve">2.1. Appréciation sur le procédé</w:t>
      </w:r>
    </w:p>
    <w:p>
      <w:pPr/>
      <w:r>
        <w:rPr/>
        <w:t xml:space="preserve">Validé par le Groupe Spécialisé le 02/10/2019</w:t>
      </w:r>
    </w:p>
    <w:p>
      <w:pPr/>
      <w:r>
        <w:rPr>
          <w:b/>
          <w:bCs/>
        </w:rPr>
        <w:t xml:space="preserve">Description</w:t>
      </w:r>
    </w:p>
    <w:p>
      <w:pPr/>
      <w:r>
        <w:rPr/>
        <w:t xml:space="preserve">Le Groupe a émis une jurisprudence pour les futures demandes associant étanchéité et acoustique. Dorénavant, le demandeur devra présenter à minima un essai acoustique en association avec le siphon mis en œuvre dans la configuration du dossier, joindre des mesures acoustiques in-situ attestant de la faisabilité de la méthode et enfin agréer des entreprises partenaires aptes à mettre en œuvre le procédé.</w:t>
      </w:r>
    </w:p>
    <w:p>
      <w:pPr>
        <w:ind w:left="720" w:right="0"/>
      </w:pPr>
      <w:r>
        <w:rPr>
          <w:rStyle w:val="font_h2"/>
        </w:rPr>
        <w:t xml:space="preserve">2.2. Locaux visés</w:t>
      </w:r>
    </w:p>
    <w:p>
      <w:pPr/>
      <w:r>
        <w:rPr/>
        <w:t xml:space="preserve">Validé par le Groupe Spécialisé le 05/02/2019</w:t>
      </w:r>
    </w:p>
    <w:p>
      <w:pPr/>
      <w:r>
        <w:rPr>
          <w:b/>
          <w:bCs/>
        </w:rPr>
        <w:t xml:space="preserve">Description</w:t>
      </w:r>
    </w:p>
    <w:p>
      <w:pPr/>
      <w:r>
        <w:rPr/>
        <w:t xml:space="preserve">Définir de manière exhaustive les locaux visés (en renvoyant au classement UPEC des locaux) en fonction de la nature du support et de la nature des travaux (neuf et rénovation). Si nécessaire, un tableau reprenant synthétiquement les éléments pourra être ajouté et complété avec la surface des carreaux mis en œuvre en fonction du support et de la classification du local.</w:t>
      </w:r>
    </w:p>
    <w:p>
      <w:pPr/>
      <w:r>
        <w:rPr>
          <w:b/>
          <w:bCs/>
        </w:rPr>
        <w:t xml:space="preserve">Justification</w:t>
      </w:r>
    </w:p>
    <w:p>
      <w:pPr/>
      <w:r>
        <w:rPr/>
        <w:t xml:space="preserve">Pour justifier de l'aptitude à l'emploi du procédé au regard du domaine d'emploi revendiqué, des essais de différentes natures devront être versés au dossier : </w:t>
      </w:r>
    </w:p>
    <w:p>
      <w:pPr>
        <w:pPr/>
        <w:numPr>
          <w:ilvl w:val="0"/>
          <w:numId w:val="10"/>
        </w:numPr>
      </w:pPr>
      <w:r>
        <w:rPr/>
        <w:t xml:space="preserve">Atténuation aux bruits de chocs et aux bruits aériens : un essai sur grande dalle pour 2 lots de production pour une nouvelle demande et sur 4 lots (dalle divisée en 4) pour une révision</w:t>
      </w:r>
    </w:p>
    <w:p>
      <w:pPr>
        <w:pPr/>
        <w:numPr>
          <w:ilvl w:val="0"/>
          <w:numId w:val="10"/>
        </w:numPr>
      </w:pPr>
      <w:r>
        <w:rPr/>
        <w:t xml:space="preserve">Masse surfacique (EN 822 et EN 12431)</w:t>
      </w:r>
    </w:p>
    <w:p>
      <w:pPr>
        <w:pPr/>
        <w:numPr>
          <w:ilvl w:val="0"/>
          <w:numId w:val="10"/>
        </w:numPr>
      </w:pPr>
      <w:r>
        <w:rPr/>
        <w:t xml:space="preserve">Épaisseur dS+X0 (EN 1606)</w:t>
      </w:r>
    </w:p>
    <w:p>
      <w:pPr>
        <w:pPr/>
        <w:numPr>
          <w:ilvl w:val="0"/>
          <w:numId w:val="10"/>
        </w:numPr>
      </w:pPr>
      <w:r>
        <w:rPr/>
        <w:t xml:space="preserve">Compressibilité (dB-dC) (EN 12431)</w:t>
      </w:r>
    </w:p>
    <w:p>
      <w:pPr>
        <w:pPr/>
        <w:numPr>
          <w:ilvl w:val="0"/>
          <w:numId w:val="10"/>
        </w:numPr>
      </w:pPr>
      <w:r>
        <w:rPr/>
        <w:t xml:space="preserve">Raideur dynamique avant et après fluage (EN 29052-1)</w:t>
      </w:r>
    </w:p>
    <w:p>
      <w:pPr>
        <w:pPr/>
        <w:numPr>
          <w:ilvl w:val="0"/>
          <w:numId w:val="10"/>
        </w:numPr>
      </w:pPr>
      <w:r>
        <w:rPr/>
        <w:t xml:space="preserve">Fluage en compression (EN 1606)</w:t>
      </w:r>
    </w:p>
    <w:p>
      <w:pPr>
        <w:pPr/>
        <w:numPr>
          <w:ilvl w:val="0"/>
          <w:numId w:val="10"/>
        </w:numPr>
      </w:pPr>
      <w:r>
        <w:rPr/>
        <w:t xml:space="preserve">Tenue aux chocs de bille, poinçonnement et adhérence (Méthodologie d’essais des sous-couches acoustiques sous carrelage collé)</w:t>
      </w:r>
    </w:p>
    <w:p>
      <w:pPr/>
      <w:r>
        <w:rPr/>
        <w:t xml:space="preserve">En complément, des essais in-situ de niveau de bruits de chocs (NF S 31-057) sur dalle nue puis sur dalle revêtue (3 chantiers) devront être réalisés pour les industriels n’ayant pas d’Avis Technique avec ce type de procédé.</w:t>
      </w:r>
    </w:p>
    <w:p>
      <w:pPr/>
      <w:r>
        <w:rPr/>
        <w:t xml:space="preserve">Le détail des essais est repris dans l'illustration associé.</w:t>
      </w:r>
    </w:p>
    <w:p>
      <w:pPr>
        <w:ind w:left="720" w:right="0"/>
      </w:pPr>
      <w:r>
        <w:rPr>
          <w:rStyle w:val="font_h2"/>
        </w:rPr>
        <w:t xml:space="preserve">2.3. Supports visés</w:t>
      </w:r>
    </w:p>
    <w:p>
      <w:pPr>
        <w:ind w:left="1440" w:right="0"/>
      </w:pPr>
      <w:r>
        <w:rPr>
          <w:rStyle w:val="font_h3"/>
        </w:rPr>
        <w:t xml:space="preserve">2.3.1. Supports en maçonnerie et plancher béton (travaux neufs ou rénovation)</w:t>
      </w:r>
    </w:p>
    <w:p>
      <w:pPr/>
      <w:r>
        <w:rPr/>
        <w:t xml:space="preserve">Validé par le Groupe Spécialisé le 02/04/2019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r>
        <w:rPr/>
        <w:t xml:space="preserve">Le Groupe Spécialisé a acté une jurisprudence concernant la préparation des supports maçonnés. Dorénavant, sur supports maçonnés, un enduit de sol P3 certifié adapté au support et d’épaisseur minimale de 3 mm doit être systématiquement mis en oeuvre afin d’obtenir un support de pose lisse et homogène présentant les tolérances de planéité suivantes :</w:t>
      </w:r>
    </w:p>
    <w:p>
      <w:pPr>
        <w:pPr/>
        <w:numPr>
          <w:ilvl w:val="0"/>
          <w:numId w:val="11"/>
        </w:numPr>
      </w:pPr>
      <w:r>
        <w:rPr/>
        <w:t xml:space="preserve">3 mm sous la règle de 2 m,</w:t>
      </w:r>
    </w:p>
    <w:p>
      <w:pPr>
        <w:pPr/>
        <w:numPr>
          <w:ilvl w:val="0"/>
          <w:numId w:val="11"/>
        </w:numPr>
      </w:pPr>
      <w:r>
        <w:rPr/>
        <w:t xml:space="preserve">2 mm sous la règle de 20 cm.</w:t>
      </w:r>
    </w:p>
    <w:p>
      <w:pPr>
        <w:ind w:left="1440" w:right="0"/>
      </w:pPr>
      <w:r>
        <w:rPr>
          <w:rStyle w:val="font_h3"/>
        </w:rPr>
        <w:t xml:space="preserve">2.3.2. Supports en bois (travaux neufs ou rénovation)</w:t>
      </w:r>
    </w:p>
    <w:p>
      <w:pPr/>
      <w:r>
        <w:rPr/>
        <w:t xml:space="preserve">Validé par le Groupe Spécialisé le 05/02/2019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ind w:left="1440" w:right="0"/>
      </w:pPr>
      <w:r>
        <w:rPr>
          <w:rStyle w:val="font_h3"/>
        </w:rPr>
        <w:t xml:space="preserve">2.3.3. Dalles vinyles semi-flexibles</w:t>
      </w:r>
    </w:p>
    <w:p>
      <w:pPr/>
      <w:r>
        <w:rPr/>
        <w:t xml:space="preserve">Validé par le Groupe Spécialisé le 05/02/2019</w:t>
      </w:r>
    </w:p>
    <w:p>
      <w:pPr/>
      <w:r>
        <w:rPr>
          <w:b/>
          <w:bCs/>
        </w:rPr>
        <w:t xml:space="preserve">Description</w:t>
      </w:r>
    </w:p>
    <w:p>
      <w:pPr/>
      <w:r>
        <w:rPr/>
        <w:t xml:space="preserve">Définir la nature des supports des dalles vinyles semi-flexibles visés en rénovation.</w:t>
      </w:r>
    </w:p>
    <w:p>
      <w:pPr>
        <w:ind w:left="1440" w:right="0"/>
      </w:pPr>
      <w:r>
        <w:rPr>
          <w:rStyle w:val="font_h3"/>
        </w:rPr>
        <w:t xml:space="preserve">2.3.4. Anciens carrelages</w:t>
      </w:r>
    </w:p>
    <w:p>
      <w:pPr/>
      <w:r>
        <w:rPr/>
        <w:t xml:space="preserve">Validé par le Groupe Spécialisé le 05/02/2019</w:t>
      </w:r>
    </w:p>
    <w:p>
      <w:pPr/>
      <w:r>
        <w:rPr>
          <w:b/>
          <w:bCs/>
        </w:rPr>
        <w:t xml:space="preserve">Description</w:t>
      </w:r>
    </w:p>
    <w:p>
      <w:pPr/>
      <w:r>
        <w:rPr/>
        <w:t xml:space="preserve">Définir la nature des supports des anciens carreaux visés en rénovation.</w:t>
      </w:r>
    </w:p>
    <w:p>
      <w:pPr>
        <w:ind w:left="1440" w:right="0"/>
      </w:pPr>
      <w:r>
        <w:rPr>
          <w:rStyle w:val="font_h3"/>
        </w:rPr>
        <w:t xml:space="preserve">2.3.5. Dallages sur terre-plein</w:t>
      </w:r>
    </w:p>
    <w:p>
      <w:pPr/>
      <w:r>
        <w:rPr/>
        <w:t xml:space="preserve">Validé par le Groupe Spécialisé le 06/12/2022</w:t>
      </w:r>
    </w:p>
    <w:p>
      <w:pPr/>
      <w:r>
        <w:rPr>
          <w:b/>
          <w:bCs/>
        </w:rPr>
        <w:t xml:space="preserve">Description</w:t>
      </w:r>
    </w:p>
    <w:p>
      <w:pPr/>
      <w:r>
        <w:rPr/>
        <w:t xml:space="preserve">La pose directe sur dallage sur terre-plein n'est pas visée dans le but d'éviter les remontées d'humidité potentielles. Une protection contre les remontées d'humidité associée à un enduit de sol doit donc être mise en œuvre.  </w:t>
      </w:r>
    </w:p>
    <w:p>
      <w:pPr/>
      <w:r>
        <w:rPr/>
        <w:t xml:space="preserve">La barrière de protection contre les remontées d'humidité mise en œuvre doit être sous Avis Technique.</w:t>
      </w:r>
      <w:br/>
      <w:r>
        <w:rPr/>
        <w:t xml:space="preserve">Par ailleurs, la compatibilité entre la barrière et le procédé d'isolation phonique doit être justifiée.</w:t>
      </w:r>
    </w:p>
    <w:p>
      <w:pPr/>
      <w:r>
        <w:rPr>
          <w:b/>
          <w:bCs/>
        </w:rPr>
        <w:t xml:space="preserve">Justification</w:t>
      </w:r>
    </w:p>
    <w:p>
      <w:pPr/>
      <w:r>
        <w:rPr/>
        <w:t xml:space="preserve">Preuve de la compatibilité entre le procédé barrière et le procédé d'isolation phonique sous carrelage.</w:t>
      </w:r>
    </w:p>
    <w:p>
      <w:pPr>
        <w:ind w:left="720" w:right="0"/>
      </w:pPr>
      <w:r>
        <w:rPr>
          <w:rStyle w:val="font_h2"/>
        </w:rPr>
        <w:t xml:space="preserve">2.4. Revêtements associés</w:t>
      </w:r>
    </w:p>
    <w:p>
      <w:pPr/>
      <w:r>
        <w:rPr/>
        <w:t xml:space="preserve">Validé par le Groupe Spécialisé le 22/09/2020</w:t>
      </w:r>
    </w:p>
    <w:p>
      <w:pPr/>
      <w:r>
        <w:rPr>
          <w:b/>
          <w:bCs/>
        </w:rPr>
        <w:t xml:space="preserve">Description</w:t>
      </w:r>
    </w:p>
    <w:p>
      <w:pPr/>
      <w:r>
        <w:rPr/>
        <w:t xml:space="preserve">Décrire de manière exhaustive la nature des carreaux, leurs formats et leurs épaisseurs en fonction du local visé.</w:t>
      </w:r>
    </w:p>
    <w:p>
      <w:pPr/>
      <w:r>
        <w:rPr/>
        <w:t xml:space="preserve">Il est demandé de détailler pour chaque référence de joint, les épaisseurs préconisées. Pour les pierres naturelles, la position du GS est de renvoyer aux épaisseurs définies dans le dossier, mais il appartient au demandeur d’indiquer dans le dossier un jointoiement minimal de 5 mm. Il sera alors mentionné au niveau des remarques complémentaires que cette largeur de joint pourrait avoir un impact sur l’esthétique de l’ouvrage fini.</w:t>
      </w:r>
    </w:p>
    <w:p>
      <w:pPr/>
      <w:r>
        <w:rPr>
          <w:b/>
          <w:bCs/>
        </w:rPr>
        <w:t xml:space="preserve">Justification</w:t>
      </w:r>
    </w:p>
    <w:p>
      <w:pPr/>
      <w:r>
        <w:rPr/>
        <w:t xml:space="preserve">Le Groupe a émis une jurisprudence concernant la mise en œuvre de carreaux de formats jusqu’à 3600 cm². 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Caractéristiques des différents composants du procédé</w:t>
      </w:r>
    </w:p>
    <w:p>
      <w:pPr>
        <w:ind w:left="720" w:right="0"/>
      </w:pPr>
      <w:r>
        <w:rPr>
          <w:rStyle w:val="font_h2"/>
        </w:rPr>
        <w:t xml:space="preserve">3.1. Produits</w:t>
      </w:r>
    </w:p>
    <w:p>
      <w:pPr>
        <w:ind w:left="1440" w:right="0"/>
      </w:pPr>
      <w:r>
        <w:rPr>
          <w:rStyle w:val="font_h3"/>
        </w:rPr>
        <w:t xml:space="preserve">3.1.1. Sous-couche acoustique</w:t>
      </w:r>
    </w:p>
    <w:p>
      <w:pPr/>
      <w:r>
        <w:rPr/>
        <w:t xml:space="preserve">Validé par le Groupe Spécialisé le 05/02/2019</w:t>
      </w:r>
    </w:p>
    <w:p>
      <w:pPr/>
      <w:r>
        <w:rPr>
          <w:b/>
          <w:bCs/>
        </w:rPr>
        <w:t xml:space="preserve">Description</w:t>
      </w:r>
    </w:p>
    <w:p>
      <w:pPr/>
      <w:r>
        <w:rPr/>
        <w:t xml:space="preserve">Décrire la composition de la sous-couche acoustique en spécifiant les caractéristiques techniques et physico-chimiques le cas échéant.A minima, les caractéristiques suivantes devront être renseignées : </w:t>
      </w:r>
    </w:p>
    <w:p>
      <w:pPr>
        <w:pPr/>
        <w:numPr>
          <w:ilvl w:val="0"/>
          <w:numId w:val="12"/>
        </w:numPr>
      </w:pPr>
      <w:r>
        <w:rPr/>
        <w:t xml:space="preserve">Epaisseur totale ; </w:t>
      </w:r>
    </w:p>
    <w:p>
      <w:pPr>
        <w:pPr/>
        <w:numPr>
          <w:ilvl w:val="0"/>
          <w:numId w:val="12"/>
        </w:numPr>
      </w:pPr>
      <w:r>
        <w:rPr/>
        <w:t xml:space="preserve">Masse surfacique ;</w:t>
      </w:r>
    </w:p>
    <w:p>
      <w:pPr>
        <w:ind w:left="1440" w:right="0"/>
      </w:pPr>
      <w:r>
        <w:rPr>
          <w:rStyle w:val="font_h3"/>
        </w:rPr>
        <w:t xml:space="preserve">3.1.2. Colle pour la pose de la sous-couche</w:t>
      </w:r>
    </w:p>
    <w:p>
      <w:pPr/>
      <w:r>
        <w:rPr/>
        <w:t xml:space="preserve">Validé par le Groupe Spécialisé le 05/02/2019</w:t>
      </w:r>
    </w:p>
    <w:p>
      <w:pPr/>
      <w:r>
        <w:rPr>
          <w:b/>
          <w:bCs/>
        </w:rPr>
        <w:t xml:space="preserve">Description</w:t>
      </w:r>
    </w:p>
    <w:p>
      <w:pPr/>
      <w:r>
        <w:rPr/>
        <w:t xml:space="preserve">Décrire la composition de la colle pour la sous-couche acoustique en spécifiant les caractéristiques techniques et physico-chimiques le cas échéant.A minima, les caractéristiques suivantes devront être renseignées : </w:t>
      </w:r>
    </w:p>
    <w:p>
      <w:pPr>
        <w:pPr/>
        <w:numPr>
          <w:ilvl w:val="0"/>
          <w:numId w:val="13"/>
        </w:numPr>
      </w:pPr>
      <w:r>
        <w:rPr/>
        <w:t xml:space="preserve">Nature ; </w:t>
      </w:r>
    </w:p>
    <w:p>
      <w:pPr>
        <w:pPr/>
        <w:numPr>
          <w:ilvl w:val="0"/>
          <w:numId w:val="13"/>
        </w:numPr>
      </w:pPr>
      <w:r>
        <w:rPr/>
        <w:t xml:space="preserve">Masse volumique ;</w:t>
      </w:r>
    </w:p>
    <w:p>
      <w:pPr>
        <w:pPr/>
        <w:numPr>
          <w:ilvl w:val="0"/>
          <w:numId w:val="13"/>
        </w:numPr>
      </w:pPr>
      <w:r>
        <w:rPr/>
        <w:t xml:space="preserve">Extrait sec ;</w:t>
      </w:r>
    </w:p>
    <w:p>
      <w:pPr>
        <w:pPr/>
        <w:numPr>
          <w:ilvl w:val="0"/>
          <w:numId w:val="13"/>
        </w:numPr>
      </w:pPr>
      <w:r>
        <w:rPr/>
        <w:t xml:space="preserve">Temps ouvert ; </w:t>
      </w:r>
    </w:p>
    <w:p>
      <w:pPr>
        <w:pPr/>
        <w:numPr>
          <w:ilvl w:val="0"/>
          <w:numId w:val="13"/>
        </w:numPr>
      </w:pPr>
      <w:r>
        <w:rPr/>
        <w:t xml:space="preserve">pH ; </w:t>
      </w:r>
    </w:p>
    <w:p>
      <w:pPr>
        <w:pPr/>
        <w:numPr>
          <w:ilvl w:val="0"/>
          <w:numId w:val="13"/>
        </w:numPr>
      </w:pPr>
      <w:r>
        <w:rPr/>
        <w:t xml:space="preserve">Temps de gommage ;</w:t>
      </w:r>
    </w:p>
    <w:p>
      <w:pPr>
        <w:ind w:left="1440" w:right="0"/>
      </w:pPr>
      <w:r>
        <w:rPr>
          <w:rStyle w:val="font_h3"/>
        </w:rPr>
        <w:t xml:space="preserve">3.1.3. Bande de pontage entre lés (non applicable aux sous-couches acoustiques en plaques)</w:t>
      </w:r>
    </w:p>
    <w:p>
      <w:pPr/>
      <w:r>
        <w:rPr/>
        <w:t xml:space="preserve">Validé par le Groupe Spécialisé le 05/02/2019</w:t>
      </w:r>
    </w:p>
    <w:p>
      <w:pPr/>
      <w:r>
        <w:rPr>
          <w:b/>
          <w:bCs/>
        </w:rPr>
        <w:t xml:space="preserve">Description</w:t>
      </w:r>
    </w:p>
    <w:p>
      <w:pPr/>
      <w:r>
        <w:rPr/>
        <w:t xml:space="preserve">Décrire la bande de pontage entre lés en spécifiant les caractéristiques techniques et physico-chimiques le cas échéant.A minima, les caractéristiques suivantes devront être renseignées : </w:t>
      </w:r>
    </w:p>
    <w:p>
      <w:pPr>
        <w:pPr/>
        <w:numPr>
          <w:ilvl w:val="0"/>
          <w:numId w:val="14"/>
        </w:numPr>
      </w:pPr>
      <w:r>
        <w:rPr/>
        <w:t xml:space="preserve">longueur du rouleau ; </w:t>
      </w:r>
    </w:p>
    <w:p>
      <w:pPr>
        <w:pPr/>
        <w:numPr>
          <w:ilvl w:val="0"/>
          <w:numId w:val="14"/>
        </w:numPr>
      </w:pPr>
      <w:r>
        <w:rPr/>
        <w:t xml:space="preserve">largeur de la bande ; </w:t>
      </w:r>
    </w:p>
    <w:p>
      <w:pPr>
        <w:pPr/>
        <w:numPr>
          <w:ilvl w:val="0"/>
          <w:numId w:val="14"/>
        </w:numPr>
      </w:pPr>
      <w:r>
        <w:rPr/>
        <w:t xml:space="preserve">Epaisseur de la bande ;</w:t>
      </w:r>
    </w:p>
    <w:p>
      <w:pPr>
        <w:ind w:left="1440" w:right="0"/>
      </w:pPr>
      <w:r>
        <w:rPr>
          <w:rStyle w:val="font_h3"/>
        </w:rPr>
        <w:t xml:space="preserve">3.1.4. Témoins d'épaisseur (non applicable aux sous-couches acoustiques en plaques)</w:t>
      </w:r>
    </w:p>
    <w:p>
      <w:pPr/>
      <w:r>
        <w:rPr/>
        <w:t xml:space="preserve">Validé par le Groupe Spécialisé le 05/02/2019</w:t>
      </w:r>
    </w:p>
    <w:p>
      <w:pPr/>
      <w:r>
        <w:rPr>
          <w:b/>
          <w:bCs/>
        </w:rPr>
        <w:t xml:space="preserve">Description</w:t>
      </w:r>
    </w:p>
    <w:p>
      <w:pPr/>
      <w:r>
        <w:rPr/>
        <w:t xml:space="preserve">Décrire les témoins d'épaisseur permettant de couler la mini-chape ainsi que les caractéristiques techniques associées.A minima, les caractéristiques suivantes devront être renseignées : </w:t>
      </w:r>
    </w:p>
    <w:p>
      <w:pPr>
        <w:pPr/>
        <w:numPr>
          <w:ilvl w:val="0"/>
          <w:numId w:val="15"/>
        </w:numPr>
      </w:pPr>
      <w:r>
        <w:rPr/>
        <w:t xml:space="preserve">Dimensions ; </w:t>
      </w:r>
    </w:p>
    <w:p>
      <w:pPr>
        <w:pPr/>
        <w:numPr>
          <w:ilvl w:val="0"/>
          <w:numId w:val="15"/>
        </w:numPr>
      </w:pPr>
      <w:r>
        <w:rPr/>
        <w:t xml:space="preserve">Epaisseur ;</w:t>
      </w:r>
    </w:p>
    <w:p>
      <w:pPr>
        <w:ind w:left="1440" w:right="0"/>
      </w:pPr>
      <w:r>
        <w:rPr>
          <w:rStyle w:val="font_h3"/>
        </w:rPr>
        <w:t xml:space="preserve">3.1.5. Bande périphérique</w:t>
      </w:r>
    </w:p>
    <w:p>
      <w:pPr/>
      <w:r>
        <w:rPr/>
        <w:t xml:space="preserve">Validé par le Groupe Spécialisé le 05/02/2019</w:t>
      </w:r>
    </w:p>
    <w:p>
      <w:pPr/>
      <w:r>
        <w:rPr>
          <w:b/>
          <w:bCs/>
        </w:rPr>
        <w:t xml:space="preserve">Description</w:t>
      </w:r>
    </w:p>
    <w:p>
      <w:pPr/>
      <w:r>
        <w:rPr/>
        <w:t xml:space="preserve">Décrire la bande périphérique en spécifiant les caractéristiques techniques.A minima, les caractéristiques suivantes devront être renseignées : </w:t>
      </w:r>
    </w:p>
    <w:p>
      <w:pPr>
        <w:pPr/>
        <w:numPr>
          <w:ilvl w:val="0"/>
          <w:numId w:val="16"/>
        </w:numPr>
      </w:pPr>
      <w:r>
        <w:rPr/>
        <w:t xml:space="preserve">Longueur du rouleau ; </w:t>
      </w:r>
    </w:p>
    <w:p>
      <w:pPr>
        <w:pPr/>
        <w:numPr>
          <w:ilvl w:val="0"/>
          <w:numId w:val="16"/>
        </w:numPr>
      </w:pPr>
      <w:r>
        <w:rPr/>
        <w:t xml:space="preserve">Largeur de la bande ; </w:t>
      </w:r>
    </w:p>
    <w:p>
      <w:pPr>
        <w:pPr/>
        <w:numPr>
          <w:ilvl w:val="0"/>
          <w:numId w:val="16"/>
        </w:numPr>
      </w:pPr>
      <w:r>
        <w:rPr/>
        <w:t xml:space="preserve">Epaisseur de la bande ;</w:t>
      </w:r>
    </w:p>
    <w:p>
      <w:pPr>
        <w:ind w:left="1440" w:right="0"/>
      </w:pPr>
      <w:r>
        <w:rPr>
          <w:rStyle w:val="font_h3"/>
        </w:rPr>
        <w:t xml:space="preserve">3.1.6. Mini-chape (non applicable aux sous-couches acoustiques en plaques)</w:t>
      </w:r>
    </w:p>
    <w:p>
      <w:pPr/>
      <w:r>
        <w:rPr/>
        <w:t xml:space="preserve">Validé par le Groupe Spécialisé le 05/02/2019</w:t>
      </w:r>
    </w:p>
    <w:p>
      <w:pPr/>
      <w:r>
        <w:rPr>
          <w:b/>
          <w:bCs/>
        </w:rPr>
        <w:t xml:space="preserve">Description</w:t>
      </w:r>
    </w:p>
    <w:p>
      <w:pPr/>
      <w:r>
        <w:rPr/>
        <w:t xml:space="preserve">Décrire la composition de la mini-chape en spécifiant les caractéristiques techniques et physico-chimiques le cas échéant.A minima, les caractéristiques suivantes devront être renseignées : </w:t>
      </w:r>
    </w:p>
    <w:p>
      <w:pPr>
        <w:pPr/>
        <w:numPr>
          <w:ilvl w:val="0"/>
          <w:numId w:val="17"/>
        </w:numPr>
      </w:pPr>
      <w:r>
        <w:rPr/>
        <w:t xml:space="preserve">Taux de cendres de la poudre ;</w:t>
      </w:r>
    </w:p>
    <w:p>
      <w:pPr>
        <w:pPr/>
        <w:numPr>
          <w:ilvl w:val="0"/>
          <w:numId w:val="17"/>
        </w:numPr>
      </w:pPr>
      <w:r>
        <w:rPr/>
        <w:t xml:space="preserve">Durée de prise Vicat de la pâte gâchée ; </w:t>
      </w:r>
    </w:p>
    <w:p>
      <w:pPr>
        <w:pPr/>
        <w:numPr>
          <w:ilvl w:val="0"/>
          <w:numId w:val="17"/>
        </w:numPr>
      </w:pPr>
      <w:r>
        <w:rPr/>
        <w:t xml:space="preserve">Résistance à la flexion et à la compression du mortier durci à 28 jours (sur éprouvettes 4 x 4 x 16 cm) ;</w:t>
      </w:r>
    </w:p>
    <w:p>
      <w:pPr>
        <w:ind w:left="1440" w:right="0"/>
      </w:pPr>
      <w:r>
        <w:rPr>
          <w:rStyle w:val="font_h3"/>
        </w:rPr>
        <w:t xml:space="preserve">3.1.7. Colles à carrelage</w:t>
      </w:r>
    </w:p>
    <w:p>
      <w:pPr/>
      <w:r>
        <w:rPr/>
        <w:t xml:space="preserve">Validé par le Groupe Spécialisé le 05/02/2019</w:t>
      </w:r>
    </w:p>
    <w:p>
      <w:pPr/>
      <w:r>
        <w:rPr>
          <w:b/>
          <w:bCs/>
        </w:rPr>
        <w:t xml:space="preserve">Description</w:t>
      </w:r>
    </w:p>
    <w:p>
      <w:pPr/>
      <w:r>
        <w:rPr/>
        <w:t xml:space="preserve">Définir les colles à carrelage certifiées QB compatibles avec le procédé. Dans le cas de colles à carrelages non certifiées, ces dernières devront être dédiées au procédé acoustique et leurs caractéristiques devront être détaillées dans ce paragraphe.</w:t>
      </w:r>
    </w:p>
    <w:p>
      <w:pPr>
        <w:ind w:left="1440" w:right="0"/>
      </w:pPr>
      <w:r>
        <w:rPr>
          <w:rStyle w:val="font_h3"/>
        </w:rPr>
        <w:t xml:space="preserve">3.1.8. Produits de jointoiement</w:t>
      </w:r>
    </w:p>
    <w:p>
      <w:pPr/>
      <w:r>
        <w:rPr/>
        <w:t xml:space="preserve">Validé par le Groupe Spécialisé le 05/02/2019</w:t>
      </w:r>
    </w:p>
    <w:p>
      <w:pPr/>
      <w:r>
        <w:rPr>
          <w:b/>
          <w:bCs/>
        </w:rPr>
        <w:t xml:space="preserve">Description</w:t>
      </w:r>
    </w:p>
    <w:p>
      <w:pPr/>
      <w:r>
        <w:rPr/>
        <w:t xml:space="preserve">Définir et décrire la composition des produits de jointoiement du carrelage en spécifiant les caractéristiques techniques et physico-chimiques le cas échéant.</w:t>
      </w:r>
    </w:p>
    <w:p>
      <w:pPr>
        <w:ind w:left="1440" w:right="0"/>
      </w:pPr>
      <w:r>
        <w:rPr>
          <w:rStyle w:val="font_h3"/>
        </w:rPr>
        <w:t xml:space="preserve">3.1.9. Système de protection à l'eau sous carrelage (SPEC)</w:t>
      </w:r>
    </w:p>
    <w:p>
      <w:pPr/>
      <w:r>
        <w:rPr/>
        <w:t xml:space="preserve">Validé par le Groupe Spécialisé le 04/06/2020</w:t>
      </w:r>
    </w:p>
    <w:p>
      <w:pPr/>
      <w:r>
        <w:rPr>
          <w:b/>
          <w:bCs/>
        </w:rPr>
        <w:t xml:space="preserve">Description</w:t>
      </w:r>
    </w:p>
    <w:p>
      <w:pPr/>
      <w:r>
        <w:rPr/>
        <w:t xml:space="preserve">Définir le SPEC certifié QB et compatible avec le procédé.</w:t>
      </w:r>
    </w:p>
    <w:p>
      <w:pPr/>
      <w:r>
        <w:rPr>
          <w:b/>
          <w:bCs/>
        </w:rPr>
        <w:t xml:space="preserve">Justification</w:t>
      </w:r>
    </w:p>
    <w:p>
      <w:pPr/>
      <w:r>
        <w:rPr/>
        <w:t xml:space="preserve">Il est demandé d’apporter la justification que la pose du SPEC sur la sous-couche ne dégrade pas la performance acoustique du système. Dans le cas contraire, le SPEC devra être positionné à un autre endroit : sur le support ou sur la couche de raidissement.</w:t>
      </w:r>
    </w:p>
    <w:p>
      <w:pPr>
        <w:ind w:left="1440" w:right="0"/>
      </w:pPr>
      <w:r>
        <w:rPr>
          <w:rStyle w:val="font_h3"/>
        </w:rPr>
        <w:t xml:space="preserve">3.1.10. Primaires</w:t>
      </w:r>
    </w:p>
    <w:p>
      <w:pPr/>
      <w:r>
        <w:rPr/>
        <w:t xml:space="preserve">Validé par le Groupe Spécialisé le 05/02/2019</w:t>
      </w:r>
    </w:p>
    <w:p>
      <w:pPr/>
      <w:r>
        <w:rPr>
          <w:b/>
          <w:bCs/>
        </w:rPr>
        <w:t xml:space="preserve">Description</w:t>
      </w:r>
    </w:p>
    <w:p>
      <w:pPr/>
      <w:r>
        <w:rPr/>
        <w:t xml:space="preserve">Décrire les primaires associé à chaque support en spécifiant les caractéristiques techniques et physico-chimiques le cas échéant.A minima, les caractéristiques suivantes devront être renseignées : </w:t>
      </w:r>
    </w:p>
    <w:p>
      <w:pPr>
        <w:pPr/>
        <w:numPr>
          <w:ilvl w:val="0"/>
          <w:numId w:val="18"/>
        </w:numPr>
      </w:pPr>
      <w:r>
        <w:rPr/>
        <w:t xml:space="preserve">Extrait sec ; </w:t>
      </w:r>
    </w:p>
    <w:p>
      <w:pPr>
        <w:pPr/>
        <w:numPr>
          <w:ilvl w:val="0"/>
          <w:numId w:val="18"/>
        </w:numPr>
      </w:pPr>
      <w:r>
        <w:rPr/>
        <w:t xml:space="preserve">pH ;</w:t>
      </w:r>
    </w:p>
    <w:p>
      <w:pPr>
        <w:ind w:left="1440" w:right="0"/>
      </w:pPr>
      <w:r>
        <w:rPr>
          <w:rStyle w:val="font_h3"/>
        </w:rPr>
        <w:t xml:space="preserve">3.1.11. Produits complémentaires</w:t>
      </w:r>
    </w:p>
    <w:p>
      <w:pPr/>
      <w:r>
        <w:rPr/>
        <w:t xml:space="preserve">Validé par le Groupe Spécialisé le 05/02/2019</w:t>
      </w:r>
    </w:p>
    <w:p>
      <w:pPr/>
      <w:r>
        <w:rPr>
          <w:b/>
          <w:bCs/>
        </w:rPr>
        <w:t xml:space="preserve">Description</w:t>
      </w:r>
    </w:p>
    <w:p>
      <w:pPr/>
      <w:r>
        <w:rPr/>
        <w:t xml:space="preserve">Définir les produits complémentaires et accessoires susceptibles d'être associés au procédé.</w:t>
      </w:r>
    </w:p>
    <w:p>
      <w:pPr>
        <w:ind w:left="720" w:right="0"/>
      </w:pPr>
      <w:r>
        <w:rPr>
          <w:rStyle w:val="font_h2"/>
        </w:rPr>
        <w:t xml:space="preserve">3.2. Conditionnement et stockage</w:t>
      </w:r>
    </w:p>
    <w:p>
      <w:pPr/>
      <w:r>
        <w:rPr/>
        <w:t xml:space="preserve">Validé par le Groupe Spécialisé le 05/02/2019</w:t>
      </w:r>
    </w:p>
    <w:p>
      <w:pPr/>
      <w:r>
        <w:rPr>
          <w:b/>
          <w:bCs/>
        </w:rPr>
        <w:t xml:space="preserve">Description</w:t>
      </w:r>
    </w:p>
    <w:p>
      <w:pPr/>
      <w:r>
        <w:rPr/>
        <w:t xml:space="preserve">Décrire la composition des différents kit acoustiques proposés à la vente en indiquant les quantités et conditionnements de chacun des éléments du kit (à réaliser sous forme d'un tableau).</w:t>
      </w:r>
    </w:p>
    <w:p>
      <w:pPr/>
      <w:r>
        <w:rPr>
          <w:rStyle w:val="font_h1"/>
        </w:rPr>
        <w:t xml:space="preserve">4. Fabrications et contrôles</w:t>
      </w:r>
    </w:p>
    <w:p>
      <w:pPr/>
      <w:r>
        <w:rPr/>
        <w:t xml:space="preserve">Validé par le Groupe Spécialisé le 05/02/2019</w:t>
      </w:r>
    </w:p>
    <w:p>
      <w:pPr/>
      <w:r>
        <w:rPr>
          <w:b/>
          <w:bCs/>
        </w:rPr>
        <w:t xml:space="preserve">Description</w:t>
      </w:r>
    </w:p>
    <w:p>
      <w:pPr/>
      <w:r>
        <w:rPr/>
        <w:t xml:space="preserve">Renseigner l'usine de fabrication de chacun des produits du kit acoustique en spécifiant le référentiel qualité de l'usine et les contrôles effectués en cours de production.</w:t>
      </w:r>
    </w:p>
    <w:p>
      <w:pPr/>
      <w:r>
        <w:rPr>
          <w:b/>
          <w:bCs/>
        </w:rPr>
        <w:t xml:space="preserve">Justification</w:t>
      </w:r>
    </w:p>
    <w:p>
      <w:pPr/>
      <w:r>
        <w:rPr/>
        <w:t xml:space="preserve">La suivi de fabrication suivant devra être fourni pour attester de la constance de qualité du procédé : </w:t>
      </w:r>
    </w:p>
    <w:p>
      <w:pPr>
        <w:pPr/>
        <w:numPr>
          <w:ilvl w:val="0"/>
          <w:numId w:val="19"/>
        </w:numPr>
      </w:pPr>
      <w:r>
        <w:rPr/>
        <w:t xml:space="preserve">Longueur, largeur, masse surfacique, équerrage (EN 15445-2 ou EN 822 ou autre)</w:t>
      </w:r>
    </w:p>
    <w:p>
      <w:pPr>
        <w:pPr/>
        <w:numPr>
          <w:ilvl w:val="0"/>
          <w:numId w:val="19"/>
        </w:numPr>
      </w:pPr>
      <w:r>
        <w:rPr/>
        <w:t xml:space="preserve">Épaisseur sous charge (dS-X0 de la EN 1606 ou autre)</w:t>
      </w:r>
    </w:p>
    <w:p>
      <w:pPr>
        <w:pPr/>
        <w:numPr>
          <w:ilvl w:val="0"/>
          <w:numId w:val="19"/>
        </w:numPr>
      </w:pPr>
      <w:r>
        <w:rPr/>
        <w:t xml:space="preserve">Compressibilité (dB-dC) (EN 12431)</w:t>
      </w:r>
    </w:p>
    <w:p>
      <w:pPr>
        <w:pPr/>
        <w:numPr>
          <w:ilvl w:val="0"/>
          <w:numId w:val="19"/>
        </w:numPr>
      </w:pPr>
      <w:r>
        <w:rPr/>
        <w:t xml:space="preserve">Raideur dynamique (EN 29052-1)</w:t>
      </w:r>
    </w:p>
    <w:p>
      <w:pPr/>
      <w:r>
        <w:rPr/>
        <w:t xml:space="preserve">Une visite de l'usine de production de la sous-couche sera également réalisée.</w:t>
      </w:r>
    </w:p>
    <w:p>
      <w:pPr/>
      <w:r>
        <w:rPr>
          <w:rStyle w:val="font_h1"/>
        </w:rPr>
        <w:t xml:space="preserve">5. Mise en oeuvre du procédé en local sec (E1)</w:t>
      </w:r>
    </w:p>
    <w:p>
      <w:pPr>
        <w:ind w:left="720" w:right="0"/>
      </w:pPr>
      <w:r>
        <w:rPr>
          <w:rStyle w:val="font_h2"/>
        </w:rPr>
        <w:t xml:space="preserve">5.1. Conditions préalables à la pose et préparations des supports</w:t>
      </w:r>
    </w:p>
    <w:p>
      <w:pPr/>
      <w:r>
        <w:rPr/>
        <w:t xml:space="preserve">Validé par le Groupe Spécialisé le 05/02/2019</w:t>
      </w:r>
    </w:p>
    <w:p>
      <w:pPr/>
      <w:r>
        <w:rPr>
          <w:b/>
          <w:bCs/>
        </w:rPr>
        <w:t xml:space="preserve">Description</w:t>
      </w:r>
    </w:p>
    <w:p>
      <w:pPr/>
      <w:r>
        <w:rPr/>
        <w:t xml:space="preserve">Définir les conditions préalables à la mise en œuvre du procédé, les exigences de planéité, l'état du support, l'humidité résiduelle le cas échéants et la préparation nécessaire pour les supports listés ci-après : </w:t>
      </w:r>
    </w:p>
    <w:p>
      <w:pPr>
        <w:pPr/>
        <w:numPr>
          <w:ilvl w:val="0"/>
          <w:numId w:val="20"/>
        </w:numPr>
      </w:pPr>
      <w:r>
        <w:rPr/>
        <w:t xml:space="preserve">Supports maçonnés</w:t>
      </w:r>
    </w:p>
    <w:p>
      <w:pPr>
        <w:pPr/>
        <w:numPr>
          <w:ilvl w:val="0"/>
          <w:numId w:val="20"/>
        </w:numPr>
      </w:pPr>
      <w:r>
        <w:rPr/>
        <w:t xml:space="preserve">Chapes à base de sulfate de calcium</w:t>
      </w:r>
    </w:p>
    <w:p>
      <w:pPr>
        <w:pPr/>
        <w:numPr>
          <w:ilvl w:val="0"/>
          <w:numId w:val="20"/>
        </w:numPr>
      </w:pPr>
      <w:r>
        <w:rPr/>
        <w:t xml:space="preserve">Support bois</w:t>
      </w:r>
    </w:p>
    <w:p>
      <w:pPr>
        <w:pPr/>
        <w:numPr>
          <w:ilvl w:val="0"/>
          <w:numId w:val="20"/>
        </w:numPr>
      </w:pPr>
      <w:r>
        <w:rPr/>
        <w:t xml:space="preserve">Anciens revêtements en dalles vinyles semi flexibles sur support maçonné</w:t>
      </w:r>
    </w:p>
    <w:p>
      <w:pPr>
        <w:pPr/>
        <w:numPr>
          <w:ilvl w:val="0"/>
          <w:numId w:val="20"/>
        </w:numPr>
      </w:pPr>
      <w:r>
        <w:rPr/>
        <w:t xml:space="preserve">Anciens carrelages sur support maçonné</w:t>
      </w:r>
    </w:p>
    <w:p>
      <w:pPr>
        <w:ind w:left="720" w:right="0"/>
      </w:pPr>
      <w:r>
        <w:rPr>
          <w:rStyle w:val="font_h2"/>
        </w:rPr>
        <w:t xml:space="preserve">5.2. Mise en oeuvre de la sous-couche phonique</w:t>
      </w:r>
    </w:p>
    <w:p>
      <w:pPr/>
      <w:r>
        <w:rPr/>
        <w:t xml:space="preserve">Validé par le Groupe Spécialisé le 05/02/2019</w:t>
      </w:r>
    </w:p>
    <w:p>
      <w:pPr/>
      <w:r>
        <w:rPr>
          <w:b/>
          <w:bCs/>
        </w:rPr>
        <w:t xml:space="preserve">Description</w:t>
      </w:r>
    </w:p>
    <w:p>
      <w:pPr/>
      <w:r>
        <w:rPr/>
        <w:t xml:space="preserve">Décrire les étapes de la mise en œuvre de la sous-couche en précisant : </w:t>
      </w:r>
    </w:p>
    <w:p>
      <w:pPr>
        <w:pPr/>
        <w:numPr>
          <w:ilvl w:val="0"/>
          <w:numId w:val="21"/>
        </w:numPr>
      </w:pPr>
      <w:r>
        <w:rPr/>
        <w:t xml:space="preserve">Le matériel nécessaire à la découpe de la sous-couche,</w:t>
      </w:r>
    </w:p>
    <w:p>
      <w:pPr>
        <w:pPr/>
        <w:numPr>
          <w:ilvl w:val="0"/>
          <w:numId w:val="21"/>
        </w:numPr>
      </w:pPr>
      <w:r>
        <w:rPr/>
        <w:t xml:space="preserve">La mise en œuvre de l'adhésif de maintien le cas échéant,</w:t>
      </w:r>
    </w:p>
    <w:p>
      <w:pPr>
        <w:pPr/>
        <w:numPr>
          <w:ilvl w:val="0"/>
          <w:numId w:val="21"/>
        </w:numPr>
      </w:pPr>
      <w:r>
        <w:rPr/>
        <w:t xml:space="preserve">La mise en œuvre de la sous-couche à proprement parlé,</w:t>
      </w:r>
    </w:p>
    <w:p>
      <w:pPr>
        <w:pPr/>
        <w:numPr>
          <w:ilvl w:val="0"/>
          <w:numId w:val="21"/>
        </w:numPr>
      </w:pPr>
      <w:r>
        <w:rPr/>
        <w:t xml:space="preserve">Le pontage entre les lés le cas échéant.</w:t>
      </w:r>
    </w:p>
    <w:p>
      <w:pPr>
        <w:ind w:left="720" w:right="0"/>
      </w:pPr>
      <w:r>
        <w:rPr>
          <w:rStyle w:val="font_h2"/>
        </w:rPr>
        <w:t xml:space="preserve">5.3. Mise en oeuvre de la mini-chape (uniquement pour les sous-couches acoustiques en rouleaux)</w:t>
      </w:r>
    </w:p>
    <w:p>
      <w:pPr/>
      <w:r>
        <w:rPr/>
        <w:t xml:space="preserve">Validé par le Groupe Spécialisé le 05/02/2019</w:t>
      </w:r>
    </w:p>
    <w:p>
      <w:pPr/>
      <w:r>
        <w:rPr>
          <w:b/>
          <w:bCs/>
        </w:rPr>
        <w:t xml:space="preserve">Description</w:t>
      </w:r>
    </w:p>
    <w:p>
      <w:pPr/>
      <w:r>
        <w:rPr/>
        <w:t xml:space="preserve">Définir les conditions de mise en œuvre de la mini-chape : </w:t>
      </w:r>
    </w:p>
    <w:p>
      <w:pPr>
        <w:pPr/>
        <w:numPr>
          <w:ilvl w:val="0"/>
          <w:numId w:val="22"/>
        </w:numPr>
      </w:pPr>
      <w:r>
        <w:rPr/>
        <w:t xml:space="preserve">Mise en place des bandes périphériques,</w:t>
      </w:r>
    </w:p>
    <w:p>
      <w:pPr>
        <w:pPr/>
        <w:numPr>
          <w:ilvl w:val="0"/>
          <w:numId w:val="22"/>
        </w:numPr>
      </w:pPr>
      <w:r>
        <w:rPr/>
        <w:t xml:space="preserve">Mise en place des témoins d'épaisseur,</w:t>
      </w:r>
    </w:p>
    <w:p>
      <w:pPr>
        <w:pPr/>
        <w:numPr>
          <w:ilvl w:val="0"/>
          <w:numId w:val="22"/>
        </w:numPr>
      </w:pPr>
      <w:r>
        <w:rPr/>
        <w:t xml:space="preserve">Gâchage et mise en œuvre de la mini-chape,</w:t>
      </w:r>
    </w:p>
    <w:p>
      <w:pPr>
        <w:pPr/>
        <w:numPr>
          <w:ilvl w:val="0"/>
          <w:numId w:val="22"/>
        </w:numPr>
      </w:pPr>
      <w:r>
        <w:rPr/>
        <w:t xml:space="preserve">Fractionnement de la mini-chape.</w:t>
      </w:r>
    </w:p>
    <w:p>
      <w:pPr>
        <w:ind w:left="720" w:right="0"/>
      </w:pPr>
      <w:r>
        <w:rPr>
          <w:rStyle w:val="font_h2"/>
        </w:rPr>
        <w:t xml:space="preserve">5.4. Mise en oeuvre du carrelage et jointoiement</w:t>
      </w:r>
    </w:p>
    <w:p>
      <w:pPr/>
      <w:r>
        <w:rPr/>
        <w:t xml:space="preserve">Validé par le Groupe Spécialisé le 05/02/2019</w:t>
      </w:r>
    </w:p>
    <w:p>
      <w:pPr/>
      <w:r>
        <w:rPr>
          <w:b/>
          <w:bCs/>
        </w:rPr>
        <w:t xml:space="preserve">Description</w:t>
      </w:r>
    </w:p>
    <w:p>
      <w:pPr/>
      <w:r>
        <w:rPr/>
        <w:t xml:space="preserve">Décrire les conditions de mise en œuvre du revêtement céramique en fonction du local visé : </w:t>
      </w:r>
    </w:p>
    <w:p>
      <w:pPr>
        <w:pPr/>
        <w:numPr>
          <w:ilvl w:val="0"/>
          <w:numId w:val="23"/>
        </w:numPr>
      </w:pPr>
      <w:r>
        <w:rPr/>
        <w:t xml:space="preserve">Gâchage du mortier colle,</w:t>
      </w:r>
    </w:p>
    <w:p>
      <w:pPr>
        <w:pPr/>
        <w:numPr>
          <w:ilvl w:val="0"/>
          <w:numId w:val="23"/>
        </w:numPr>
      </w:pPr>
      <w:r>
        <w:rPr/>
        <w:t xml:space="preserve">Mise en œuvre du carrelage (description de la mise en œuvre de la trame de renfort le cas échéant),</w:t>
      </w:r>
    </w:p>
    <w:p>
      <w:pPr>
        <w:pPr/>
        <w:numPr>
          <w:ilvl w:val="0"/>
          <w:numId w:val="23"/>
        </w:numPr>
      </w:pPr>
      <w:r>
        <w:rPr/>
        <w:t xml:space="preserve">Fractionnement du carrelage,</w:t>
      </w:r>
    </w:p>
    <w:p>
      <w:pPr>
        <w:pPr/>
        <w:numPr>
          <w:ilvl w:val="0"/>
          <w:numId w:val="23"/>
        </w:numPr>
      </w:pPr>
      <w:r>
        <w:rPr/>
        <w:t xml:space="preserve">Jointoiement des carreaux.</w:t>
      </w:r>
    </w:p>
    <w:p>
      <w:pPr/>
      <w:r>
        <w:rPr>
          <w:b/>
          <w:bCs/>
        </w:rPr>
        <w:t xml:space="preserve">Illustration</w:t>
      </w:r>
    </w:p>
    <w:p>
      <w:pPr/>
      <w:r>
        <w:rPr/>
        <w:t xml:space="preserve">Un schéma global (en écorché par exemple) doit être ajouté au dossier pour illustrer les différentes étape de la mise en œuvre.</w:t>
      </w:r>
    </w:p>
    <w:p>
      <w:pPr>
        <w:ind w:left="720" w:right="0"/>
      </w:pPr>
      <w:r>
        <w:rPr>
          <w:rStyle w:val="font_h2"/>
        </w:rPr>
        <w:t xml:space="preserve">5.5. Traitement des points singuliers</w:t>
      </w:r>
    </w:p>
    <w:p>
      <w:pPr/>
      <w:r>
        <w:rPr/>
        <w:t xml:space="preserve">Validé par le Groupe Spécialisé le 05/02/2019</w:t>
      </w:r>
    </w:p>
    <w:p>
      <w:pPr/>
      <w:r>
        <w:rPr>
          <w:b/>
          <w:bCs/>
        </w:rPr>
        <w:t xml:space="preserve">Description</w:t>
      </w:r>
    </w:p>
    <w:p>
      <w:pPr/>
      <w:r>
        <w:rPr/>
        <w:t xml:space="preserve">Décrire le traitement de chacun des points singuliers associés au procédé et décrits ci-après :</w:t>
      </w:r>
    </w:p>
    <w:p>
      <w:pPr>
        <w:pPr/>
        <w:numPr>
          <w:ilvl w:val="0"/>
          <w:numId w:val="24"/>
        </w:numPr>
      </w:pPr>
      <w:r>
        <w:rPr/>
        <w:t xml:space="preserve">Angles rentrants/sortants,</w:t>
      </w:r>
    </w:p>
    <w:p>
      <w:pPr>
        <w:pPr/>
        <w:numPr>
          <w:ilvl w:val="0"/>
          <w:numId w:val="24"/>
        </w:numPr>
      </w:pPr>
      <w:r>
        <w:rPr/>
        <w:t xml:space="preserve">Pieds d'huisserie,</w:t>
      </w:r>
    </w:p>
    <w:p>
      <w:pPr>
        <w:pPr/>
        <w:numPr>
          <w:ilvl w:val="0"/>
          <w:numId w:val="24"/>
        </w:numPr>
      </w:pPr>
      <w:r>
        <w:rPr/>
        <w:t xml:space="preserve">Traversées de canalisations,</w:t>
      </w:r>
    </w:p>
    <w:p>
      <w:pPr>
        <w:pPr/>
        <w:numPr>
          <w:ilvl w:val="0"/>
          <w:numId w:val="24"/>
        </w:numPr>
      </w:pPr>
      <w:r>
        <w:rPr/>
        <w:t xml:space="preserve">Seuils de portes,</w:t>
      </w:r>
    </w:p>
    <w:p>
      <w:pPr>
        <w:pPr/>
        <w:numPr>
          <w:ilvl w:val="0"/>
          <w:numId w:val="24"/>
        </w:numPr>
      </w:pPr>
      <w:r>
        <w:rPr/>
        <w:t xml:space="preserve">Pose des plinthes et finitions.</w:t>
      </w:r>
    </w:p>
    <w:p>
      <w:pPr/>
      <w:r>
        <w:rPr>
          <w:b/>
          <w:bCs/>
        </w:rPr>
        <w:t xml:space="preserve">Illustration</w:t>
      </w:r>
    </w:p>
    <w:p>
      <w:pPr/>
      <w:r>
        <w:rPr/>
        <w:t xml:space="preserve">Pour chacun des points singuliers un schéma de traitement devra être proposé.</w:t>
      </w:r>
    </w:p>
    <w:p>
      <w:pPr/>
      <w:r>
        <w:rPr>
          <w:rStyle w:val="font_h1"/>
        </w:rPr>
        <w:t xml:space="preserve">6. Mise en oeuvre du procédé en local humide (E2)</w:t>
      </w:r>
    </w:p>
    <w:p>
      <w:pPr/>
      <w:r>
        <w:rPr/>
        <w:t xml:space="preserve">Validé par le Groupe Spécialisé le 05/02/2019</w:t>
      </w:r>
    </w:p>
    <w:p>
      <w:pPr/>
      <w:r>
        <w:rPr>
          <w:b/>
          <w:bCs/>
        </w:rPr>
        <w:t xml:space="preserve">Description</w:t>
      </w:r>
    </w:p>
    <w:p>
      <w:pPr/>
      <w:r>
        <w:rPr/>
        <w:t xml:space="preserve">Décrire les étapes de la mise en œuvre du procédé dans ce type de local de la même manière que dans le paragraphe précédant en précisant notamment les conditions de mises en œuvre du SPEC et le traitement des points singuliers avec ce même SPEC.</w:t>
      </w:r>
    </w:p>
    <w:p>
      <w:pPr/>
      <w:r>
        <w:rPr>
          <w:b/>
          <w:bCs/>
        </w:rPr>
        <w:t xml:space="preserve">Illustration</w:t>
      </w:r>
    </w:p>
    <w:p>
      <w:pPr/>
      <w:r>
        <w:rPr/>
        <w:t xml:space="preserve">Un schéma de principe général ainsi que des schémas illustrant le traitement des points singuliers devront être ajoutés au dossier.</w:t>
      </w:r>
    </w:p>
    <w:p>
      <w:pPr/>
      <w:r>
        <w:rPr>
          <w:rStyle w:val="font_h1"/>
        </w:rPr>
        <w:t xml:space="preserve">7. Mise en service</w:t>
      </w:r>
    </w:p>
    <w:p>
      <w:pPr/>
      <w:r>
        <w:rPr/>
        <w:t xml:space="preserve">Validé par le Groupe Spécialisé le 09/07/2019</w:t>
      </w:r>
    </w:p>
    <w:p>
      <w:pPr/>
      <w:r>
        <w:rPr>
          <w:b/>
          <w:bCs/>
        </w:rPr>
        <w:t xml:space="preserve">Description</w:t>
      </w:r>
    </w:p>
    <w:p>
      <w:pPr/>
      <w:r>
        <w:rPr/>
        <w:t xml:space="preserve">Définir les échéances de mise en service du local en fonction notamment de la colle à carrelage utilisé.Au moins une des colles à carrelage utilisées devra permettre une mise en service du local 3 jours après le collage du carreau.</w:t>
      </w:r>
    </w:p>
    <w:p>
      <w:pPr/>
      <w:r>
        <w:rPr/>
        <w:t xml:space="preserve">Le Groupe Spécialisé n°13 a acté une jurisprudence concernant les délais de remise en service des locaux pour les procédés d’isolation phonique sous carrelage.En dérogation des jurisprudences du 5 juillet 2012 et du 1er avril 2014, dorénavant le délai de remise en service des locaux dans lesquels un procédéd’isolation phonique a été mis en oeuvre ne pourra pas excéder 72 heures après la mise en oeuvre du mortier colle. Par ailleurs, compte tenu des sollicitations des locaux à 16 heures (jointoiement du carrelage) et à 72 heures (remise en service du local : ouverture aux autres corps d’état ou réemménagement), le Groupe a acté qu’aucune distinction ne pouvait être opérée entre locaux P2 et P3, notamment vis-à-vis des performances aux essais de poinçonnement.</w:t>
      </w:r>
    </w:p>
    <w:p>
      <w:pPr/>
      <w:r>
        <w:rPr>
          <w:b/>
          <w:bCs/>
        </w:rPr>
        <w:t xml:space="preserve">Justification</w:t>
      </w:r>
    </w:p>
    <w:p>
      <w:pPr/>
      <w:r>
        <w:rPr/>
        <w:t xml:space="preserve">Les essais de chocs à la bille permettent de valider les échéances de mise en service du local.</w:t>
      </w:r>
    </w:p>
    <w:p>
      <w:pPr/>
      <w:r>
        <w:rPr>
          <w:rStyle w:val="font_h1"/>
        </w:rPr>
        <w:t xml:space="preserve">8. Assitance technique</w:t>
      </w:r>
    </w:p>
    <w:p>
      <w:pPr/>
      <w:r>
        <w:rPr/>
        <w:t xml:space="preserve">Validé par le Groupe Spécialisé le 05/02/2019</w:t>
      </w:r>
    </w:p>
    <w:p>
      <w:pPr/>
      <w:r>
        <w:rPr>
          <w:b/>
          <w:bCs/>
        </w:rPr>
        <w:t xml:space="preserve">Description</w:t>
      </w:r>
    </w:p>
    <w:p>
      <w:pPr/>
      <w:r>
        <w:rPr/>
        <w:t xml:space="preserve">Décrire l'assistance technique apportée par la société détentrice de l'Avis Technique.</w:t>
      </w:r>
    </w:p>
    <w:p>
      <w:pPr/>
      <w:r>
        <w:rPr>
          <w:rStyle w:val="font_h1"/>
        </w:rPr>
        <w:t xml:space="preserve">9. Références</w:t>
      </w:r>
    </w:p>
    <w:p>
      <w:pPr/>
      <w:r>
        <w:rPr/>
        <w:t xml:space="preserve">Validé par le Groupe Spécialisé le 05/02/2019</w:t>
      </w:r>
    </w:p>
    <w:p>
      <w:pPr/>
      <w:r>
        <w:rPr>
          <w:b/>
          <w:bCs/>
        </w:rPr>
        <w:t xml:space="preserve">Description</w:t>
      </w:r>
    </w:p>
    <w:p>
      <w:pPr>
        <w:pPr/>
        <w:numPr>
          <w:ilvl w:val="0"/>
          <w:numId w:val="25"/>
        </w:numPr>
      </w:pPr>
      <w:r>
        <w:rPr/>
        <w:t xml:space="preserve">Préciser la surface du procédé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Un tableau récapitulatif avec les éléments suivants est à fournir avec au moins 10 chantiers représentatifs ou 5000 m² :</w:t>
      </w:r>
    </w:p>
    <w:p>
      <w:pPr>
        <w:pPr/>
        <w:numPr>
          <w:ilvl w:val="0"/>
          <w:numId w:val="26"/>
        </w:numPr>
      </w:pPr>
      <w:r>
        <w:rPr/>
        <w:t xml:space="preserve">l’adresse précise du chantier et la surface réalisée,</w:t>
      </w:r>
    </w:p>
    <w:p>
      <w:pPr>
        <w:pPr/>
        <w:numPr>
          <w:ilvl w:val="0"/>
          <w:numId w:val="26"/>
        </w:numPr>
      </w:pPr>
      <w:r>
        <w:rPr/>
        <w:t xml:space="preserve">la date de mise en œuvre,</w:t>
      </w:r>
    </w:p>
    <w:p>
      <w:pPr>
        <w:pPr/>
        <w:numPr>
          <w:ilvl w:val="0"/>
          <w:numId w:val="26"/>
        </w:numPr>
      </w:pPr>
      <w:r>
        <w:rPr/>
        <w:t xml:space="preserve">les noms, adresses et e-mail du maître d’œuvre et maître d’ouvrage</w:t>
      </w:r>
    </w:p>
    <w:p>
      <w:pPr>
        <w:pPr/>
        <w:numPr>
          <w:ilvl w:val="0"/>
          <w:numId w:val="26"/>
        </w:numPr>
      </w:pPr>
      <w:r>
        <w:rPr/>
        <w:t xml:space="preserve">la nature du support,</w:t>
      </w:r>
    </w:p>
    <w:p>
      <w:pPr>
        <w:pPr/>
        <w:numPr>
          <w:ilvl w:val="0"/>
          <w:numId w:val="26"/>
        </w:numPr>
      </w:pPr>
      <w:r>
        <w:rPr/>
        <w:t xml:space="preserve">les épaisseurs d’application,</w:t>
      </w:r>
    </w:p>
    <w:p>
      <w:pPr>
        <w:pPr/>
        <w:numPr>
          <w:ilvl w:val="0"/>
          <w:numId w:val="26"/>
        </w:numPr>
      </w:pPr>
      <w:r>
        <w:rPr/>
        <w:t xml:space="preserve">les types de planchers.</w:t>
      </w:r>
    </w:p>
    <w:p>
      <w:pPr/>
      <w:r>
        <w:rPr>
          <w:rStyle w:val="font_h1"/>
        </w:rPr>
        <w:t xml:space="preserve">10. Annexe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DF3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8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6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B2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25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73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63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E2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21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7B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76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33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AC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EE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7C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23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2E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65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2026-05-17T20:15:53+02:00</dcterms:created>
  <dcterms:modified xsi:type="dcterms:W3CDTF">2026-05-17T20:15:53+02:00</dcterms:modified>
</cp:coreProperties>
</file>

<file path=docProps/custom.xml><?xml version="1.0" encoding="utf-8"?>
<Properties xmlns="http://schemas.openxmlformats.org/officeDocument/2006/custom-properties" xmlns:vt="http://schemas.openxmlformats.org/officeDocument/2006/docPropsVTypes"/>
</file>