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26/06/2026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air</w:t>
      </w:r>
    </w:p>
    <w:p>
      <w:pPr/>
      <w:r>
        <w:rPr>
          <w:rStyle w:val="font_h1"/>
        </w:rPr>
        <w:t xml:space="preserve">1. Fabrication et contrôles de production en usine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:</w:t>
      </w:r>
    </w:p>
    <w:p>
      <w:pPr>
        <w:pPr/>
        <w:numPr>
          <w:ilvl w:val="0"/>
          <w:numId w:val="9"/>
        </w:numPr>
      </w:pPr>
      <w:r>
        <w:rPr/>
        <w:t xml:space="preserve">Fournir le nom et l'adresse des principaux sites de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la fabrication doit faire l'objet d'un suivi.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demandeur doit proposer des modalités de suivi adaptées aux risques de son procédé.Si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suivi uniquement documentaire est insuffisant.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2D1C05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2026-06-26T07:41:45+02:00</dcterms:created>
  <dcterms:modified xsi:type="dcterms:W3CDTF">2026-06-26T07:41:45+02:00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