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30/04/2026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plan vitré à circulation de liquide - Posé indépendamment sur support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17/10/2019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de de grille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/ non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1.2.2. Inclinaison du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capteur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capteurs."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capteurs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5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5"/>
        </w:numPr>
      </w:pPr>
      <w:r>
        <w:rPr/>
        <w:t xml:space="preserve">France métropolitaine (Corse incluse)</w:t>
      </w:r>
    </w:p>
    <w:p>
      <w:pPr>
        <w:pPr/>
        <w:numPr>
          <w:ilvl w:val="1"/>
          <w:numId w:val="15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5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5"/>
        </w:numPr>
      </w:pPr>
      <w:r>
        <w:rPr/>
        <w:t xml:space="preserve">sur toiture-terrasse</w:t>
      </w:r>
    </w:p>
    <w:p>
      <w:pPr>
        <w:pPr/>
        <w:numPr>
          <w:ilvl w:val="1"/>
          <w:numId w:val="15"/>
        </w:numPr>
      </w:pPr>
      <w:r>
        <w:rPr/>
        <w:t xml:space="preserve">au sol</w:t>
      </w:r>
    </w:p>
    <w:p>
      <w:pPr>
        <w:pPr/>
        <w:numPr>
          <w:ilvl w:val="1"/>
          <w:numId w:val="15"/>
        </w:numPr>
      </w:pPr>
      <w:r>
        <w:rPr/>
        <w:t xml:space="preserve">sur paroi verticale</w:t>
      </w:r>
    </w:p>
    <w:p>
      <w:pPr>
        <w:pPr/>
        <w:numPr>
          <w:ilvl w:val="1"/>
          <w:numId w:val="15"/>
        </w:numPr>
      </w:pPr>
      <w:r>
        <w:rPr/>
        <w:t xml:space="preserve">sur couverture - décrire le type de couverture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(méthode de référence : EN ISO 9806:2014 § 16 / EN ISO 9806:2017 §15)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6"/>
        </w:numPr>
      </w:pPr>
      <w:r>
        <w:rPr/>
        <w:t xml:space="preserve">le mode de maintien du capteur doit être représentatif de sa mise en œuvre</w:t>
      </w:r>
    </w:p>
    <w:p>
      <w:pPr>
        <w:pPr/>
        <w:numPr>
          <w:ilvl w:val="0"/>
          <w:numId w:val="16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6"/>
        </w:numPr>
      </w:pPr>
      <w:r>
        <w:rPr/>
        <w:t xml:space="preserve">+2400 Pa / - 2400 Pa pour la France métropolitaine,</w:t>
      </w:r>
    </w:p>
    <w:p>
      <w:pPr>
        <w:pPr/>
        <w:numPr>
          <w:ilvl w:val="1"/>
          <w:numId w:val="16"/>
        </w:numPr>
      </w:pPr>
      <w:r>
        <w:rPr/>
        <w:t xml:space="preserve">+2400 Pa / - 3000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17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7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7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7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7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7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17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18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9"/>
        </w:numPr>
      </w:pPr>
      <w:r>
        <w:rPr/>
        <w:t xml:space="preserve">plan général</w:t>
      </w:r>
    </w:p>
    <w:p>
      <w:pPr>
        <w:pPr/>
        <w:numPr>
          <w:ilvl w:val="0"/>
          <w:numId w:val="19"/>
        </w:numPr>
      </w:pPr>
      <w:r>
        <w:rPr/>
        <w:t xml:space="preserve">plans des composants</w:t>
      </w:r>
    </w:p>
    <w:p>
      <w:pPr>
        <w:pPr/>
        <w:numPr>
          <w:ilvl w:val="0"/>
          <w:numId w:val="19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19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19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0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0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0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0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Épaisseur (en mm)</w:t>
      </w:r>
    </w:p>
    <w:p>
      <w:pPr>
        <w:pPr/>
        <w:numPr>
          <w:ilvl w:val="0"/>
          <w:numId w:val="20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Dimensions</w:t>
      </w:r>
    </w:p>
    <w:p>
      <w:pPr>
        <w:pPr/>
        <w:numPr>
          <w:ilvl w:val="0"/>
          <w:numId w:val="20"/>
        </w:numPr>
      </w:pPr>
      <w:r>
        <w:rPr/>
        <w:t xml:space="preserve">Température maximale admise</w:t>
      </w:r>
    </w:p>
    <w:p>
      <w:pPr>
        <w:pPr/>
        <w:numPr>
          <w:ilvl w:val="0"/>
          <w:numId w:val="20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1"/>
        </w:numPr>
      </w:pPr>
      <w:r>
        <w:rPr/>
        <w:t xml:space="preserve">la fiche technique,</w:t>
      </w:r>
    </w:p>
    <w:p>
      <w:pPr>
        <w:pPr/>
        <w:numPr>
          <w:ilvl w:val="0"/>
          <w:numId w:val="21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2"/>
        </w:numPr>
      </w:pPr>
      <w:r>
        <w:rPr/>
        <w:t xml:space="preserve">matériau avec sa nuance</w:t>
      </w:r>
    </w:p>
    <w:p>
      <w:pPr>
        <w:pPr/>
        <w:numPr>
          <w:ilvl w:val="0"/>
          <w:numId w:val="22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2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2"/>
        </w:numPr>
      </w:pPr>
      <w:r>
        <w:rPr/>
        <w:t xml:space="preserve">épaisseur</w:t>
      </w:r>
    </w:p>
    <w:p>
      <w:pPr>
        <w:pPr/>
        <w:numPr>
          <w:ilvl w:val="0"/>
          <w:numId w:val="22"/>
        </w:numPr>
      </w:pPr>
      <w:r>
        <w:rPr/>
        <w:t xml:space="preserve">dimensions</w:t>
      </w:r>
    </w:p>
    <w:p>
      <w:pPr>
        <w:pPr/>
        <w:numPr>
          <w:ilvl w:val="0"/>
          <w:numId w:val="22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2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3"/>
        </w:numPr>
      </w:pPr>
      <w:r>
        <w:rPr/>
        <w:t xml:space="preserve">matériau avec sa nuance</w:t>
      </w:r>
    </w:p>
    <w:p>
      <w:pPr>
        <w:pPr/>
        <w:numPr>
          <w:ilvl w:val="0"/>
          <w:numId w:val="23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3"/>
        </w:numPr>
      </w:pPr>
      <w:r>
        <w:rPr/>
        <w:t xml:space="preserve">nombre de tubes</w:t>
      </w:r>
    </w:p>
    <w:p>
      <w:pPr>
        <w:pPr/>
        <w:numPr>
          <w:ilvl w:val="0"/>
          <w:numId w:val="23"/>
        </w:numPr>
      </w:pPr>
      <w:r>
        <w:rPr/>
        <w:t xml:space="preserve">entraxe des tubes</w:t>
      </w:r>
    </w:p>
    <w:p>
      <w:pPr>
        <w:pPr/>
        <w:numPr>
          <w:ilvl w:val="0"/>
          <w:numId w:val="23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3"/>
        </w:numPr>
      </w:pPr>
      <w:r>
        <w:rPr/>
        <w:t xml:space="preserve">pression de service maximale</w:t>
      </w:r>
    </w:p>
    <w:p>
      <w:pPr>
        <w:pPr/>
        <w:numPr>
          <w:ilvl w:val="0"/>
          <w:numId w:val="23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3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4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4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4"/>
        </w:numPr>
      </w:pPr>
      <w:r>
        <w:rPr/>
        <w:t xml:space="preserve">épaisseur</w:t>
      </w:r>
    </w:p>
    <w:p>
      <w:pPr>
        <w:pPr/>
        <w:numPr>
          <w:ilvl w:val="0"/>
          <w:numId w:val="24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4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4"/>
        </w:numPr>
      </w:pPr>
      <w:r>
        <w:rPr/>
        <w:t xml:space="preserve">taux de transmission</w:t>
      </w:r>
    </w:p>
    <w:p>
      <w:pPr>
        <w:pPr/>
        <w:numPr>
          <w:ilvl w:val="0"/>
          <w:numId w:val="24"/>
        </w:numPr>
      </w:pPr>
      <w:r>
        <w:rPr/>
        <w:t xml:space="preserve">mode de fixation dans le cadre</w:t>
      </w:r>
    </w:p>
    <w:p>
      <w:pPr>
        <w:pPr/>
        <w:numPr>
          <w:ilvl w:val="1"/>
          <w:numId w:val="24"/>
        </w:numPr>
      </w:pPr>
      <w:r>
        <w:rPr/>
        <w:t xml:space="preserve">type de joint</w:t>
      </w:r>
    </w:p>
    <w:p>
      <w:pPr>
        <w:pPr/>
        <w:numPr>
          <w:ilvl w:val="1"/>
          <w:numId w:val="24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5"/>
        </w:numPr>
      </w:pPr>
      <w:r>
        <w:rPr/>
        <w:t xml:space="preserve">raccords hydrauliques</w:t>
      </w:r>
    </w:p>
    <w:p>
      <w:pPr>
        <w:pPr/>
        <w:numPr>
          <w:ilvl w:val="0"/>
          <w:numId w:val="25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5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26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26"/>
        </w:numPr>
      </w:pPr>
      <w:r>
        <w:rPr/>
        <w:t xml:space="preserve">système anti-humidité,</w:t>
      </w:r>
    </w:p>
    <w:p>
      <w:pPr>
        <w:pPr/>
        <w:numPr>
          <w:ilvl w:val="0"/>
          <w:numId w:val="26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7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7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7"/>
        </w:numPr>
      </w:pPr>
      <w:r>
        <w:rPr/>
        <w:t xml:space="preserve">les principales dimensions,</w:t>
      </w:r>
    </w:p>
    <w:p>
      <w:pPr>
        <w:pPr/>
        <w:numPr>
          <w:ilvl w:val="0"/>
          <w:numId w:val="27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8"/>
        </w:numPr>
      </w:pPr>
      <w:r>
        <w:rPr/>
        <w:t xml:space="preserve">notices de mise en œuvre </w:t>
      </w:r>
    </w:p>
    <w:p>
      <w:pPr>
        <w:pPr/>
        <w:numPr>
          <w:ilvl w:val="0"/>
          <w:numId w:val="28"/>
        </w:numPr>
      </w:pPr>
      <w:r>
        <w:rPr/>
        <w:t xml:space="preserve">plan général</w:t>
      </w:r>
    </w:p>
    <w:p>
      <w:pPr>
        <w:pPr/>
        <w:numPr>
          <w:ilvl w:val="0"/>
          <w:numId w:val="28"/>
        </w:numPr>
      </w:pPr>
      <w:r>
        <w:rPr/>
        <w:t xml:space="preserve">plans des composants</w:t>
      </w:r>
    </w:p>
    <w:p>
      <w:pPr>
        <w:pPr/>
        <w:numPr>
          <w:ilvl w:val="0"/>
          <w:numId w:val="28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8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9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9"/>
        </w:numPr>
      </w:pPr>
      <w:r>
        <w:rPr/>
        <w:t xml:space="preserve">par une note de calcul</w:t>
      </w:r>
    </w:p>
    <w:p>
      <w:pPr>
        <w:pPr/>
        <w:numPr>
          <w:ilvl w:val="0"/>
          <w:numId w:val="29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31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31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2.8. Fluide caloporteur - fourni à l'installateur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2"/>
        </w:numPr>
      </w:pPr>
      <w:r>
        <w:rPr/>
        <w:t xml:space="preserve">marque commerciale</w:t>
      </w:r>
    </w:p>
    <w:p>
      <w:pPr>
        <w:pPr/>
        <w:numPr>
          <w:ilvl w:val="0"/>
          <w:numId w:val="32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2"/>
        </w:numPr>
      </w:pPr>
      <w:r>
        <w:rPr/>
        <w:t xml:space="preserve">point de gel</w:t>
      </w:r>
    </w:p>
    <w:p>
      <w:pPr>
        <w:pPr/>
        <w:numPr>
          <w:ilvl w:val="0"/>
          <w:numId w:val="32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3"/>
        </w:numPr>
      </w:pPr>
      <w:r>
        <w:rPr/>
        <w:t xml:space="preserve">Fluide caloporteur</w:t>
      </w:r>
    </w:p>
    <w:p>
      <w:pPr>
        <w:pPr/>
        <w:numPr>
          <w:ilvl w:val="1"/>
          <w:numId w:val="33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3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3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3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3"/>
        </w:numPr>
      </w:pPr>
      <w:r>
        <w:rPr/>
        <w:t xml:space="preserve">Planches ou cales en bois</w:t>
      </w:r>
    </w:p>
    <w:p>
      <w:pPr>
        <w:pPr/>
        <w:numPr>
          <w:ilvl w:val="1"/>
          <w:numId w:val="33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3"/>
        </w:numPr>
      </w:pPr>
      <w:r>
        <w:rPr/>
        <w:t xml:space="preserve">Visserie</w:t>
      </w:r>
    </w:p>
    <w:p>
      <w:pPr>
        <w:pPr/>
        <w:numPr>
          <w:ilvl w:val="1"/>
          <w:numId w:val="33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3"/>
        </w:numPr>
      </w:pPr>
      <w:r>
        <w:rPr/>
        <w:t xml:space="preserve">Soupape de sécurité</w:t>
      </w:r>
    </w:p>
    <w:p>
      <w:pPr>
        <w:pPr/>
        <w:numPr>
          <w:ilvl w:val="1"/>
          <w:numId w:val="33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3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34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34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34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34"/>
        </w:numPr>
      </w:pPr>
      <w:r>
        <w:rPr/>
        <w:t xml:space="preserve">poids à vide (kg)</w:t>
      </w:r>
    </w:p>
    <w:p>
      <w:pPr>
        <w:pPr/>
        <w:numPr>
          <w:ilvl w:val="0"/>
          <w:numId w:val="34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5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35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5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35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6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7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7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7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7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37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37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8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8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04/03/2019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9"/>
        </w:numPr>
      </w:pPr>
      <w:r>
        <w:rPr/>
        <w:t xml:space="preserve">restrictions d'implantation,</w:t>
      </w:r>
    </w:p>
    <w:p>
      <w:pPr>
        <w:pPr/>
        <w:numPr>
          <w:ilvl w:val="0"/>
          <w:numId w:val="39"/>
        </w:numPr>
      </w:pPr>
      <w:r>
        <w:rPr/>
        <w:t xml:space="preserve">fluide caloporteur,</w:t>
      </w:r>
    </w:p>
    <w:p>
      <w:pPr>
        <w:pPr/>
        <w:numPr>
          <w:ilvl w:val="0"/>
          <w:numId w:val="39"/>
        </w:numPr>
      </w:pPr>
      <w:r>
        <w:rPr/>
        <w:t xml:space="preserve">le débit d'utilisation,</w:t>
      </w:r>
    </w:p>
    <w:p>
      <w:pPr>
        <w:pPr/>
        <w:numPr>
          <w:ilvl w:val="0"/>
          <w:numId w:val="39"/>
        </w:numPr>
      </w:pPr>
      <w:r>
        <w:rPr/>
        <w:t xml:space="preserve">pression maximale de service,</w:t>
      </w:r>
    </w:p>
    <w:p>
      <w:pPr>
        <w:pPr/>
        <w:numPr>
          <w:ilvl w:val="0"/>
          <w:numId w:val="39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9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0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0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0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0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0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0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0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1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41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41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1"/>
        </w:numPr>
      </w:pPr>
      <w:r>
        <w:rPr/>
        <w:t xml:space="preserve">préciser en particulier :</w:t>
      </w:r>
    </w:p>
    <w:p>
      <w:pPr>
        <w:pPr/>
        <w:numPr>
          <w:ilvl w:val="1"/>
          <w:numId w:val="41"/>
        </w:numPr>
      </w:pPr>
      <w:r>
        <w:rPr/>
        <w:t xml:space="preserve">les possibilités de réglage des entre axes,</w:t>
      </w:r>
    </w:p>
    <w:p>
      <w:pPr>
        <w:pPr/>
        <w:numPr>
          <w:ilvl w:val="1"/>
          <w:numId w:val="41"/>
        </w:numPr>
      </w:pPr>
      <w:r>
        <w:rPr/>
        <w:t xml:space="preserve">le mode de liaison du capteur sur les supports,</w:t>
      </w:r>
    </w:p>
    <w:p>
      <w:pPr>
        <w:pPr/>
        <w:numPr>
          <w:ilvl w:val="1"/>
          <w:numId w:val="41"/>
        </w:numPr>
      </w:pPr>
      <w:r>
        <w:rPr/>
        <w:t xml:space="preserve">le réglage de la planéité des capteurs,</w:t>
      </w:r>
    </w:p>
    <w:p>
      <w:pPr>
        <w:pPr/>
        <w:numPr>
          <w:ilvl w:val="1"/>
          <w:numId w:val="41"/>
        </w:numPr>
      </w:pPr>
      <w:r>
        <w:rPr/>
        <w:t xml:space="preserve">le renforcement éventuel des ancrages, 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2"/>
        </w:numPr>
      </w:pPr>
      <w:r>
        <w:rPr/>
        <w:t xml:space="preserve">notices de mise en œuvre</w:t>
      </w:r>
    </w:p>
    <w:p>
      <w:pPr>
        <w:pPr/>
        <w:numPr>
          <w:ilvl w:val="0"/>
          <w:numId w:val="4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2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2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4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5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6"/>
        </w:numPr>
      </w:pPr>
      <w:r>
        <w:rPr/>
        <w:t xml:space="preserve">date de mise en production,</w:t>
      </w:r>
    </w:p>
    <w:p>
      <w:pPr>
        <w:pPr/>
        <w:numPr>
          <w:ilvl w:val="0"/>
          <w:numId w:val="4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4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7"/>
        </w:numPr>
      </w:pPr>
      <w:r>
        <w:rPr/>
        <w:t xml:space="preserve">la taille de l'installation,</w:t>
      </w:r>
    </w:p>
    <w:p>
      <w:pPr>
        <w:pPr/>
        <w:numPr>
          <w:ilvl w:val="0"/>
          <w:numId w:val="4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4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8"/>
        </w:numPr>
      </w:pPr>
      <w:r>
        <w:rPr/>
        <w:t xml:space="preserve">Vues du capteur :</w:t>
      </w:r>
    </w:p>
    <w:p>
      <w:pPr>
        <w:pPr/>
        <w:numPr>
          <w:ilvl w:val="1"/>
          <w:numId w:val="48"/>
        </w:numPr>
      </w:pPr>
      <w:r>
        <w:rPr/>
        <w:t xml:space="preserve">vue générale</w:t>
      </w:r>
    </w:p>
    <w:p>
      <w:pPr>
        <w:pPr/>
        <w:numPr>
          <w:ilvl w:val="1"/>
          <w:numId w:val="4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48"/>
        </w:numPr>
      </w:pPr>
      <w:r>
        <w:rPr/>
        <w:t xml:space="preserve">Système hydraulique :</w:t>
      </w:r>
    </w:p>
    <w:p>
      <w:pPr>
        <w:pPr/>
        <w:numPr>
          <w:ilvl w:val="1"/>
          <w:numId w:val="4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4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48"/>
        </w:numPr>
      </w:pPr>
      <w:r>
        <w:rPr/>
        <w:t xml:space="preserve">détails des raccords hydrauliques</w:t>
      </w:r>
    </w:p>
    <w:p>
      <w:pPr>
        <w:pPr/>
        <w:numPr>
          <w:ilvl w:val="1"/>
          <w:numId w:val="4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48"/>
        </w:numPr>
      </w:pPr>
      <w:r>
        <w:rPr/>
        <w:t xml:space="preserve">Mise en œuvre des capteurs :</w:t>
      </w:r>
    </w:p>
    <w:p>
      <w:pPr>
        <w:pPr/>
        <w:numPr>
          <w:ilvl w:val="1"/>
          <w:numId w:val="48"/>
        </w:numPr>
      </w:pPr>
      <w:r>
        <w:rPr/>
        <w:t xml:space="preserve">schémas permettant de décrire pas à pas la mise en œuvre pour chaque domaine d’emploi déclaré (toiture inclinée, pose sur surface plane…etc.)</w:t>
      </w:r>
    </w:p>
    <w:p>
      <w:pPr>
        <w:pPr/>
        <w:numPr>
          <w:ilvl w:val="1"/>
          <w:numId w:val="48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4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9"/>
        </w:numPr>
      </w:pPr>
      <w:r>
        <w:rPr/>
        <w:t xml:space="preserve">Notice d’entretien</w:t>
      </w:r>
    </w:p>
    <w:p>
      <w:pPr>
        <w:pPr/>
        <w:numPr>
          <w:ilvl w:val="0"/>
          <w:numId w:val="49"/>
        </w:numPr>
      </w:pPr>
      <w:r>
        <w:rPr/>
        <w:t xml:space="preserve">Fiche de Données Sécurité (FDS) du liquide caloporteur</w:t>
      </w:r>
    </w:p>
    <w:p>
      <w:pPr>
        <w:pPr/>
        <w:numPr>
          <w:ilvl w:val="0"/>
          <w:numId w:val="4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9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5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5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5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50"/>
        </w:numPr>
      </w:pPr>
      <w:r>
        <w:rPr/>
        <w:t xml:space="preserve">Cas des révisions :</w:t>
      </w:r>
    </w:p>
    <w:p>
      <w:pPr>
        <w:pPr/>
        <w:numPr>
          <w:ilvl w:val="1"/>
          <w:numId w:val="5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5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BC45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047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90B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6E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41E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ADD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B83E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65DB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0F08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8AF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588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D0F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1B4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8DC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DD46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D20C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664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A365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771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F3E8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13F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552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434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48A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71C9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7FB0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027E9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0E00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EE482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F8B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0EB4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519E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0B3A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BB81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6DE7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815A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A35A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9A16A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8680C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C2FF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B9F85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B80A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1EA5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2026-04-30T23:27:10+02:00</dcterms:created>
  <dcterms:modified xsi:type="dcterms:W3CDTF">2026-04-30T23:27:10+02:00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