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pour utilisation en très faible pente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w:t>
      </w:r>
    </w:p>
    <w:p>
      <w:pPr>
        <w:pPr/>
        <w:numPr>
          <w:ilvl w:val="0"/>
          <w:numId w:val="9"/>
        </w:numPr>
      </w:pPr>
      <w:r>
        <w:rPr/>
        <w:t xml:space="preserve">sa destination, son domaine d'emploi, </w:t>
      </w:r>
    </w:p>
    <w:p>
      <w:pPr>
        <w:pPr/>
        <w:numPr>
          <w:ilvl w:val="0"/>
          <w:numId w:val="9"/>
        </w:numPr>
      </w:pPr>
      <w:r>
        <w:rPr/>
        <w:t xml:space="preserve">la référence aux règles de conception et de mise en œuvre précisées dans les DTU de la série 40.21 selon le type de tuile et le NF DTU 40.29 le cas échéant.</w:t>
      </w:r>
    </w:p>
    <w:p>
      <w:pPr/>
      <w:r>
        <w:rPr>
          <w:b/>
          <w:bCs/>
        </w:rPr>
        <w:t xml:space="preserve">Justification</w:t>
      </w:r>
    </w:p>
    <w:p>
      <w:pPr/>
      <w:r>
        <w:rPr/>
        <w:t xml:space="preserve">Fournir la déclaration de performance selon la norme produit, une étiquette de marquage CE, et la fiche technique de la tuile.</w:t>
      </w:r>
    </w:p>
    <w:p>
      <w:pPr/>
      <w:r>
        <w:rPr>
          <w:rStyle w:val="font_h1"/>
        </w:rPr>
        <w:t xml:space="preserve">2. Domaine d'emploi</w:t>
      </w:r>
    </w:p>
    <w:p>
      <w:pPr/>
      <w:r>
        <w:rPr/>
        <w:t xml:space="preserve">Validé par le Groupe Spécialisé le 11/12/2017</w:t>
      </w:r>
    </w:p>
    <w:p>
      <w:pPr/>
      <w:r>
        <w:rPr>
          <w:b/>
          <w:bCs/>
        </w:rPr>
        <w:t xml:space="preserve">Description</w:t>
      </w:r>
    </w:p>
    <w:p>
      <w:pPr/>
      <w:r>
        <w:rPr/>
        <w:t xml:space="preserve">Décrire le domaine d'emploi revendiqué, en fonction de l'expérience reconnue et réussie.La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r>
        <w:rPr>
          <w:b/>
          <w:bCs/>
        </w:rPr>
        <w:t xml:space="preserve">Justification</w:t>
      </w:r>
    </w:p>
    <w:p>
      <w:pPr/>
      <w:r>
        <w:rPr/>
        <w:t xml:space="preserve">Fournir la fiche technique de la tuile.</w:t>
      </w:r>
    </w:p>
    <w:p>
      <w:pPr>
        <w:ind w:left="720" w:right="0"/>
      </w:pPr>
      <w:r>
        <w:rPr>
          <w:rStyle w:val="font_h2"/>
        </w:rPr>
        <w:t xml:space="preserve">3.2. Tuile courante</w:t>
      </w:r>
    </w:p>
    <w:p>
      <w:pPr>
        <w:ind w:left="1440" w:right="0"/>
      </w:pPr>
      <w:r>
        <w:rPr>
          <w:rStyle w:val="font_h3"/>
        </w:rPr>
        <w:t xml:space="preserve">3.2.1. Caractéristiques générales</w:t>
      </w:r>
    </w:p>
    <w:p>
      <w:pPr/>
      <w:r>
        <w:rPr/>
        <w:t xml:space="preserve">Validé par le Groupe Spécialisé le 15/04/2019</w:t>
      </w:r>
    </w:p>
    <w:p>
      <w:pPr/>
      <w:r>
        <w:rPr>
          <w:b/>
          <w:bCs/>
        </w:rPr>
        <w:t xml:space="preserve">Description</w:t>
      </w:r>
    </w:p>
    <w:p>
      <w:pPr/>
      <w:r>
        <w:rPr/>
        <w:t xml:space="preserve">Renvoyer à la norme de marquage CE du produit.Donner les dimensions (longueur, largeur..).Préciser les pureaux de pose.Indiquer les longueurs de recouvrement mini/maxi.Préciser le poids unitaire.Préciser le Nombre de tuile par m².Préciser si la tuile est siliconée.Préciser les teintes.Renvoyer aux coupes données dans le dossier graphique.</w:t>
      </w:r>
    </w:p>
    <w:p>
      <w:pPr/>
      <w:r>
        <w:rPr>
          <w:b/>
          <w:bCs/>
        </w:rPr>
        <w:t xml:space="preserve">Justification</w:t>
      </w:r>
    </w:p>
    <w:p>
      <w:pPr/>
      <w:r>
        <w:rPr/>
        <w:t xml:space="preserve">Fournir la DOP de la tuile, la fiche technique et la certification le cas échéant (NF063 par exemple).</w:t>
      </w:r>
    </w:p>
    <w:p>
      <w:pPr/>
      <w:r>
        <w:rPr>
          <w:b/>
          <w:bCs/>
        </w:rPr>
        <w:t xml:space="preserve">Illustration</w:t>
      </w:r>
    </w:p>
    <w:p>
      <w:pPr/>
      <w:r>
        <w:rPr/>
        <w:t xml:space="preserve">Figures cotées suivantes :</w:t>
      </w:r>
    </w:p>
    <w:p>
      <w:pPr>
        <w:pPr/>
        <w:numPr>
          <w:ilvl w:val="0"/>
          <w:numId w:val="11"/>
        </w:numPr>
      </w:pPr>
      <w:r>
        <w:rPr/>
        <w:t xml:space="preserve">Coupe longitudinale,</w:t>
      </w:r>
    </w:p>
    <w:p>
      <w:pPr>
        <w:pPr/>
        <w:numPr>
          <w:ilvl w:val="0"/>
          <w:numId w:val="11"/>
        </w:numPr>
      </w:pPr>
      <w:r>
        <w:rPr/>
        <w:t xml:space="preserve">Coupe transversale,</w:t>
      </w:r>
    </w:p>
    <w:p>
      <w:pPr>
        <w:pPr/>
        <w:numPr>
          <w:ilvl w:val="0"/>
          <w:numId w:val="11"/>
        </w:numPr>
      </w:pPr>
      <w:r>
        <w:rPr/>
        <w:t xml:space="preserve">Schéma illustrant l'emboîtement transversal,</w:t>
      </w:r>
    </w:p>
    <w:p>
      <w:pPr>
        <w:pPr/>
        <w:numPr>
          <w:ilvl w:val="0"/>
          <w:numId w:val="11"/>
        </w:numPr>
      </w:pPr>
      <w:r>
        <w:rPr/>
        <w:t xml:space="preserve">Schéma illustrant l'emboîtement longitudinal,</w:t>
      </w:r>
    </w:p>
    <w:p>
      <w:pPr>
        <w:pPr/>
        <w:numPr>
          <w:ilvl w:val="0"/>
          <w:numId w:val="11"/>
        </w:numPr>
      </w:pPr>
      <w:r>
        <w:rPr/>
        <w:t xml:space="preserve">Vue en perspective,</w:t>
      </w:r>
    </w:p>
    <w:p>
      <w:pPr>
        <w:pPr/>
        <w:numPr>
          <w:ilvl w:val="0"/>
          <w:numId w:val="11"/>
        </w:numPr>
      </w:pPr>
      <w:r>
        <w:rPr/>
        <w:t xml:space="preserve">Vue de l’intrados,</w:t>
      </w:r>
    </w:p>
    <w:p>
      <w:pPr>
        <w:pPr/>
        <w:numPr>
          <w:ilvl w:val="0"/>
          <w:numId w:val="11"/>
        </w:numPr>
      </w:pPr>
      <w:r>
        <w:rPr/>
        <w:t xml:space="preserve">Vue de l’extrados.</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 .</w:t>
      </w:r>
    </w:p>
    <w:p>
      <w:pPr/>
      <w:r>
        <w:rPr>
          <w:i/>
          <w:iCs/>
        </w:rPr>
        <w:t xml:space="preserve">JURISPRUDENCE : Dans le cas des tuiles de terre cuite à emboîtement à pureau plat, ces dernières doivent répondre au CGM du DTU 40.211, et notamment d’une résistance à la rupture par flexion supérieure à 100 daN.</w:t>
      </w:r>
    </w:p>
    <w:p>
      <w:pPr/>
      <w:r>
        <w:rPr>
          <w:b/>
          <w:bCs/>
        </w:rPr>
        <w:t xml:space="preserve">Justification</w:t>
      </w:r>
    </w:p>
    <w:p>
      <w:pPr/>
      <w:r>
        <w:rPr/>
        <w:t xml:space="preserve">Le rapport d’essais de caractérisation de l’étanchéité à l’eau en soufflerie climatique; habituellement MOBY DICK II.Pour valider le domaine d'emploi, l'essai doit être réalisé dans les configurations les plus défavorables ( pentes mini et maxi, recouvrements mini et maxi, pureaux mini et maxi, toiture nue sans écran en sous-face).</w:t>
      </w:r>
    </w:p>
    <w:p>
      <w:pPr/>
      <w:r>
        <w:rPr>
          <w:b/>
          <w:bCs/>
        </w:rPr>
        <w:t xml:space="preserve">Critères d'évaluation</w:t>
      </w:r>
    </w:p>
    <w:p>
      <w:pPr/>
      <w:r>
        <w:rPr/>
        <w:t xml:space="preserve">Supérieur à -50 Pa pour l'essai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accessoires (ex: certification NF) dont les pureaux.</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Lister les marquages et ajouter une figure précisant ces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11/12/2017</w:t>
      </w:r>
    </w:p>
    <w:p>
      <w:pPr/>
      <w:r>
        <w:rPr>
          <w:b/>
          <w:bCs/>
        </w:rPr>
        <w:t xml:space="preserve">Description</w:t>
      </w:r>
    </w:p>
    <w:p>
      <w:pPr/>
      <w:r>
        <w:rPr/>
        <w:t xml:space="preserve">Le tableau des pentes doit être établi sur la base de l'expérience reconnue et réussis.Les pentes sont données en fin de dossier dans un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 protégé, normal, exposé), par zone d'application (1,2 ou 3), par longueur de rampant de projection horizontale ( jusqu'à 6,5m, supérieur à 6,5 met jusqu'à 9,5 m, supérieur à 9,5 m et jusqu'à 12 m).</w:t>
      </w:r>
    </w:p>
    <w:p>
      <w:pPr>
        <w:ind w:left="720" w:right="0"/>
      </w:pPr>
      <w:r>
        <w:rPr>
          <w:rStyle w:val="font_h2"/>
        </w:rPr>
        <w:t xml:space="preserve">5.3. Traitement des points singuliers</w:t>
      </w:r>
    </w:p>
    <w:p>
      <w:pPr/>
      <w:r>
        <w:rPr/>
        <w:t xml:space="preserve">Validé par le Groupe Spécialisé le 11/12/2017</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noue.Attention: les règles professionnelles faible pente ne couvrent pas la mise en œuvre à très faible pente.</w:t>
      </w:r>
    </w:p>
    <w:p>
      <w:pPr/>
      <w:r>
        <w:rPr>
          <w:rStyle w:val="font_h1"/>
        </w:rPr>
        <w:t xml:space="preserve">6. Fixations mécaniques</w:t>
      </w:r>
    </w:p>
    <w:p>
      <w:pPr/>
      <w:r>
        <w:rPr/>
        <w:t xml:space="preserve">Validé par le Groupe Spécialisé le 11/12/2017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est certifié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489E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F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E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2025-12-15T03:53:09+01:00</dcterms:created>
  <dcterms:modified xsi:type="dcterms:W3CDTF">2025-12-15T03:53:09+01:00</dcterms:modified>
</cp:coreProperties>
</file>

<file path=docProps/custom.xml><?xml version="1.0" encoding="utf-8"?>
<Properties xmlns="http://schemas.openxmlformats.org/officeDocument/2006/custom-properties" xmlns:vt="http://schemas.openxmlformats.org/officeDocument/2006/docPropsVTypes"/>
</file>