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26/06/2026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Couverture en tuiles métalliques</w:t>
      </w:r>
    </w:p>
    <w:p>
      <w:pPr/>
      <w:r>
        <w:rPr>
          <w:rStyle w:val="font_h1"/>
        </w:rPr>
        <w:t xml:space="preserve">1. Principe</w:t>
      </w:r>
    </w:p>
    <w:p>
      <w:pPr>
        <w:ind w:left="720" w:right="0"/>
      </w:pPr>
      <w:r>
        <w:rPr>
          <w:rStyle w:val="font_h2"/>
        </w:rPr>
        <w:t xml:space="preserve">1.1. Généralités</w:t>
      </w:r>
    </w:p>
    <w:p>
      <w:pPr/>
      <w:r>
        <w:rPr/>
        <w:t xml:space="preserve">Validé par le Groupe Spécialisé le 03/06/2019</w:t>
      </w:r>
    </w:p>
    <w:p>
      <w:pPr/>
      <w:r>
        <w:rPr>
          <w:b/>
          <w:bCs/>
        </w:rPr>
        <w:t xml:space="preserve">Description</w:t>
      </w:r>
    </w:p>
    <w:p>
      <w:pPr/>
      <w:r>
        <w:rPr>
          <w:i/>
          <w:iCs/>
        </w:rPr>
        <w:t xml:space="preserve">JURISPRUDENCE GENERALE :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1.2. Principe</w:t>
      </w:r>
    </w:p>
    <w:p>
      <w:pPr/>
      <w:r>
        <w:rPr/>
        <w:t xml:space="preserve">Validé par le Groupe Spécialisé le 15/04/2019</w:t>
      </w:r>
    </w:p>
    <w:p>
      <w:pPr/>
      <w:r>
        <w:rPr>
          <w:b/>
          <w:bCs/>
        </w:rPr>
        <w:t xml:space="preserve">Description</w:t>
      </w:r>
    </w:p>
    <w:p>
      <w:pPr/>
      <w:r>
        <w:rPr/>
        <w:t xml:space="preserve">Le système de couverture se présente en éléments métalliques, issus de tôle d'acier revêtue. Ils sont destinés à être posés et fixés sur des liteaux en bois.Préciser la dénomination commerciale de la tuile. Indiquer la forme de la tuile,  le type de revêtement ainsi que le prélaquage.</w:t>
      </w:r>
    </w:p>
    <w:p>
      <w:pPr/>
      <w:r>
        <w:rPr>
          <w:rStyle w:val="font_h1"/>
        </w:rPr>
        <w:t xml:space="preserve">2. Domaine d'emploi</w:t>
      </w:r>
    </w:p>
    <w:p>
      <w:pPr/>
      <w:r>
        <w:rPr/>
        <w:t xml:space="preserve">Validé par le Groupe Spécialisé le 15/04/2019</w:t>
      </w:r>
    </w:p>
    <w:p>
      <w:pPr/>
      <w:r>
        <w:rPr>
          <w:b/>
          <w:bCs/>
        </w:rPr>
        <w:t xml:space="preserve">Description</w:t>
      </w:r>
    </w:p>
    <w:p>
      <w:pPr/>
      <w:r>
        <w:rPr/>
        <w:t xml:space="preserve">Décrire le domaine d’emploi revendiqué, en fonction de l’expérience reconnue et réussie :</w:t>
      </w:r>
    </w:p>
    <w:p>
      <w:pPr>
        <w:pPr/>
        <w:numPr>
          <w:ilvl w:val="0"/>
          <w:numId w:val="9"/>
        </w:numPr>
      </w:pPr>
      <w:r>
        <w:rPr/>
        <w:t xml:space="preserve">Type de bâtiments, hygrométrie, destination,</w:t>
      </w:r>
    </w:p>
    <w:p>
      <w:pPr>
        <w:pPr/>
        <w:numPr>
          <w:ilvl w:val="0"/>
          <w:numId w:val="9"/>
        </w:numPr>
      </w:pPr>
      <w:r>
        <w:rPr/>
        <w:t xml:space="preserve">Mode de pose (joints droits, croisés),</w:t>
      </w:r>
    </w:p>
    <w:p>
      <w:pPr>
        <w:pPr/>
        <w:numPr>
          <w:ilvl w:val="0"/>
          <w:numId w:val="9"/>
        </w:numPr>
      </w:pPr>
      <w:r>
        <w:rPr/>
        <w:t xml:space="preserve">Mise en œuvre en climat de plaine et montagne,</w:t>
      </w:r>
    </w:p>
    <w:p>
      <w:pPr>
        <w:pPr/>
        <w:numPr>
          <w:ilvl w:val="0"/>
          <w:numId w:val="9"/>
        </w:numPr>
      </w:pPr>
      <w:r>
        <w:rPr/>
        <w:t xml:space="preserve">Mise en œuvre dans les DROM,</w:t>
      </w:r>
    </w:p>
    <w:p>
      <w:pPr>
        <w:pPr/>
        <w:numPr>
          <w:ilvl w:val="0"/>
          <w:numId w:val="9"/>
        </w:numPr>
      </w:pPr>
      <w:r>
        <w:rPr/>
        <w:t xml:space="preserve">Mise en œuvre en rénovation,</w:t>
      </w:r>
    </w:p>
    <w:p>
      <w:pPr>
        <w:pPr/>
        <w:numPr>
          <w:ilvl w:val="0"/>
          <w:numId w:val="9"/>
        </w:numPr>
      </w:pPr>
      <w:r>
        <w:rPr/>
        <w:t xml:space="preserve">Renvoi au tableau des pentes du DTED.</w:t>
      </w:r>
    </w:p>
    <w:p>
      <w:pPr/>
      <w:r>
        <w:rPr>
          <w:b/>
          <w:bCs/>
        </w:rPr>
        <w:t xml:space="preserve">Justification</w:t>
      </w:r>
    </w:p>
    <w:p>
      <w:pPr/>
      <w:r>
        <w:rPr/>
        <w:t xml:space="preserve">Fournir la déclaration de performance selon la norme produit, une étiquette de marquage CE, la fiche produit ainsi que la FDS, le cas échéant.Fournir une liste des références de chantiers qui doit indiquer:</w:t>
      </w:r>
    </w:p>
    <w:p>
      <w:pPr>
        <w:pPr/>
        <w:numPr>
          <w:ilvl w:val="0"/>
          <w:numId w:val="10"/>
        </w:numPr>
      </w:pPr>
      <w:r>
        <w:rPr/>
        <w:t xml:space="preserve">La référence de la tuile,</w:t>
      </w:r>
    </w:p>
    <w:p>
      <w:pPr>
        <w:pPr/>
        <w:numPr>
          <w:ilvl w:val="0"/>
          <w:numId w:val="10"/>
        </w:numPr>
      </w:pPr>
      <w:r>
        <w:rPr/>
        <w:t xml:space="preserve">Le nom et les coordonnées du chantier,</w:t>
      </w:r>
    </w:p>
    <w:p>
      <w:pPr>
        <w:pPr/>
        <w:numPr>
          <w:ilvl w:val="0"/>
          <w:numId w:val="10"/>
        </w:numPr>
      </w:pPr>
      <w:r>
        <w:rPr/>
        <w:t xml:space="preserve">Le nom et les coordonnées du maître d’ouvrage,</w:t>
      </w:r>
    </w:p>
    <w:p>
      <w:pPr>
        <w:pPr/>
        <w:numPr>
          <w:ilvl w:val="0"/>
          <w:numId w:val="10"/>
        </w:numPr>
      </w:pPr>
      <w:r>
        <w:rPr/>
        <w:t xml:space="preserve">Le nom et les coordonnées du maître d’œuvre,</w:t>
      </w:r>
    </w:p>
    <w:p>
      <w:pPr>
        <w:pPr/>
        <w:numPr>
          <w:ilvl w:val="0"/>
          <w:numId w:val="10"/>
        </w:numPr>
      </w:pPr>
      <w:r>
        <w:rPr/>
        <w:t xml:space="preserve">Le nom et les coordonnées de l’entreprise de pose,</w:t>
      </w:r>
    </w:p>
    <w:p>
      <w:pPr>
        <w:pPr/>
        <w:numPr>
          <w:ilvl w:val="0"/>
          <w:numId w:val="10"/>
        </w:numPr>
      </w:pPr>
      <w:r>
        <w:rPr/>
        <w:t xml:space="preserve">Le nom et les coordonnées du contrôleur, le cas échéant,</w:t>
      </w:r>
    </w:p>
    <w:p>
      <w:pPr>
        <w:pPr/>
        <w:numPr>
          <w:ilvl w:val="0"/>
          <w:numId w:val="10"/>
        </w:numPr>
      </w:pPr>
      <w:r>
        <w:rPr/>
        <w:t xml:space="preserve">Le mois et l’année de réalisation,</w:t>
      </w:r>
    </w:p>
    <w:p>
      <w:pPr>
        <w:pPr/>
        <w:numPr>
          <w:ilvl w:val="0"/>
          <w:numId w:val="10"/>
        </w:numPr>
      </w:pPr>
      <w:r>
        <w:rPr/>
        <w:t xml:space="preserve">La surface concernée,</w:t>
      </w:r>
    </w:p>
    <w:p>
      <w:pPr>
        <w:pPr/>
        <w:numPr>
          <w:ilvl w:val="0"/>
          <w:numId w:val="10"/>
        </w:numPr>
      </w:pPr>
      <w:r>
        <w:rPr/>
        <w:t xml:space="preserve">La pente (les références doivent comporter, entre autres, les pentes minimales revendiquées dans le dossier),</w:t>
      </w:r>
    </w:p>
    <w:p>
      <w:pPr>
        <w:pPr/>
        <w:numPr>
          <w:ilvl w:val="0"/>
          <w:numId w:val="10"/>
        </w:numPr>
      </w:pPr>
      <w:r>
        <w:rPr/>
        <w:t xml:space="preserve">La longueur de rampant,</w:t>
      </w:r>
    </w:p>
    <w:p>
      <w:pPr>
        <w:pPr/>
        <w:numPr>
          <w:ilvl w:val="0"/>
          <w:numId w:val="10"/>
        </w:numPr>
      </w:pPr>
      <w:r>
        <w:rPr/>
        <w:t xml:space="preserve">La hauteur maximale du bâtiment,</w:t>
      </w:r>
    </w:p>
    <w:p>
      <w:pPr>
        <w:pPr/>
        <w:numPr>
          <w:ilvl w:val="0"/>
          <w:numId w:val="10"/>
        </w:numPr>
      </w:pPr>
      <w:r>
        <w:rPr/>
        <w:t xml:space="preserve">La zone de concomitance vent-pluie selon les DTU 40.2*,</w:t>
      </w:r>
    </w:p>
    <w:p>
      <w:pPr>
        <w:pPr/>
        <w:numPr>
          <w:ilvl w:val="0"/>
          <w:numId w:val="10"/>
        </w:numPr>
      </w:pPr>
      <w:r>
        <w:rPr/>
        <w:t xml:space="preserve">La situation selon les DTU 40.2*,</w:t>
      </w:r>
    </w:p>
    <w:p>
      <w:pPr>
        <w:pPr/>
        <w:numPr>
          <w:ilvl w:val="0"/>
          <w:numId w:val="10"/>
        </w:numPr>
      </w:pPr>
      <w:r>
        <w:rPr/>
        <w:t xml:space="preserve">L’altitude,</w:t>
      </w:r>
    </w:p>
    <w:p>
      <w:pPr>
        <w:pPr/>
        <w:numPr>
          <w:ilvl w:val="0"/>
          <w:numId w:val="10"/>
        </w:numPr>
      </w:pPr>
      <w:r>
        <w:rPr/>
        <w:t xml:space="preserve">Le bord de mer (≤ 20 km) le cas échéant,</w:t>
      </w:r>
    </w:p>
    <w:p>
      <w:pPr>
        <w:pPr/>
        <w:numPr>
          <w:ilvl w:val="0"/>
          <w:numId w:val="10"/>
        </w:numPr>
      </w:pPr>
      <w:r>
        <w:rPr/>
        <w:t xml:space="preserve">La présence ou non d’un écran de sous-toiture (l’écran n’est pas une étanchéité complémentaire).</w:t>
      </w:r>
    </w:p>
    <w:p>
      <w:pPr/>
      <w:r>
        <w:rPr>
          <w:rStyle w:val="font_h1"/>
        </w:rPr>
        <w:t xml:space="preserve">3. Eléments et Matériaux</w:t>
      </w:r>
    </w:p>
    <w:p>
      <w:pPr>
        <w:ind w:left="720" w:right="0"/>
      </w:pPr>
      <w:r>
        <w:rPr>
          <w:rStyle w:val="font_h2"/>
        </w:rPr>
        <w:t xml:space="preserve">3.1. Eléments courants</w:t>
      </w:r>
    </w:p>
    <w:p>
      <w:pPr>
        <w:ind w:left="1440" w:right="0"/>
      </w:pPr>
      <w:r>
        <w:rPr>
          <w:rStyle w:val="font_h3"/>
        </w:rPr>
        <w:t xml:space="preserve">3.1.1. Généralités</w:t>
      </w:r>
    </w:p>
    <w:p>
      <w:pPr/>
      <w:r>
        <w:rPr/>
        <w:t xml:space="preserve">Validé par le Groupe Spécialisé le 15/04/2019</w:t>
      </w:r>
    </w:p>
    <w:p>
      <w:pPr/>
      <w:r>
        <w:rPr>
          <w:b/>
          <w:bCs/>
        </w:rPr>
        <w:t xml:space="preserve">Description</w:t>
      </w:r>
    </w:p>
    <w:p>
      <w:pPr/>
      <w:r>
        <w:rPr/>
        <w:t xml:space="preserve">Décrire la tuile, ainsi que son marquage CE. Indiquer le type de revêtement ainsi que le prélaquage.</w:t>
      </w:r>
    </w:p>
    <w:p>
      <w:pPr/>
      <w:r>
        <w:rPr>
          <w:b/>
          <w:bCs/>
        </w:rPr>
        <w:t xml:space="preserve">Justification</w:t>
      </w:r>
    </w:p>
    <w:p>
      <w:pPr/>
      <w:r>
        <w:rPr/>
        <w:t xml:space="preserve">Transmettre un exemple d'étiquette CE de la tuile, ainsi que la Déclaration de Performance (DdP ou DOP) du produit.</w:t>
      </w:r>
    </w:p>
    <w:p>
      <w:pPr/>
      <w:r>
        <w:rPr>
          <w:b/>
          <w:bCs/>
        </w:rPr>
        <w:t xml:space="preserve">Illustration</w:t>
      </w:r>
    </w:p>
    <w:p>
      <w:pPr/>
      <w:r>
        <w:rPr/>
        <w:t xml:space="preserve">Fournir des figures cotées des tuiles visées avec leurs dimensions (longueurs hors tout et utile, largeurs hors tout et utile, recouvrements, hauteur des recouvrements et retombées).</w:t>
      </w:r>
    </w:p>
    <w:p>
      <w:pPr>
        <w:ind w:left="1440" w:right="0"/>
      </w:pPr>
      <w:r>
        <w:rPr>
          <w:rStyle w:val="font_h3"/>
        </w:rPr>
        <w:t xml:space="preserve">3.1.2. Métal</w:t>
      </w:r>
    </w:p>
    <w:p>
      <w:pPr/>
      <w:r>
        <w:rPr/>
        <w:t xml:space="preserve">Validé par le Groupe Spécialisé le 15/04/2019</w:t>
      </w:r>
    </w:p>
    <w:p>
      <w:pPr/>
      <w:r>
        <w:rPr>
          <w:b/>
          <w:bCs/>
        </w:rPr>
        <w:t xml:space="preserve">Description</w:t>
      </w:r>
    </w:p>
    <w:p>
      <w:pPr/>
      <w:r>
        <w:rPr/>
        <w:t xml:space="preserve">Indiquer :</w:t>
      </w:r>
    </w:p>
    <w:p>
      <w:pPr>
        <w:pPr/>
        <w:numPr>
          <w:ilvl w:val="0"/>
          <w:numId w:val="11"/>
        </w:numPr>
      </w:pPr>
      <w:r>
        <w:rPr/>
        <w:t xml:space="preserve">la norme EN de la tôle.</w:t>
      </w:r>
    </w:p>
    <w:p>
      <w:pPr>
        <w:pPr/>
        <w:numPr>
          <w:ilvl w:val="0"/>
          <w:numId w:val="11"/>
        </w:numPr>
      </w:pPr>
      <w:r>
        <w:rPr/>
        <w:t xml:space="preserve">les propriétés mécaniques du métal.</w:t>
      </w:r>
    </w:p>
    <w:p>
      <w:pPr>
        <w:pPr/>
        <w:numPr>
          <w:ilvl w:val="0"/>
          <w:numId w:val="11"/>
        </w:numPr>
      </w:pPr>
      <w:r>
        <w:rPr/>
        <w:t xml:space="preserve">les nuances et classes du métal.</w:t>
      </w:r>
    </w:p>
    <w:p>
      <w:pPr>
        <w:pPr/>
        <w:numPr>
          <w:ilvl w:val="0"/>
          <w:numId w:val="11"/>
        </w:numPr>
      </w:pPr>
      <w:r>
        <w:rPr/>
        <w:t xml:space="preserve">le mode de suivi de fabrication.</w:t>
      </w:r>
    </w:p>
    <w:p>
      <w:pPr>
        <w:pPr/>
        <w:numPr>
          <w:ilvl w:val="0"/>
          <w:numId w:val="11"/>
        </w:numPr>
      </w:pPr>
      <w:r>
        <w:rPr/>
        <w:t xml:space="preserve">l’épaisseur de la tôle et ses tolérances. </w:t>
      </w:r>
    </w:p>
    <w:p>
      <w:pPr>
        <w:pPr/>
        <w:numPr>
          <w:ilvl w:val="0"/>
          <w:numId w:val="11"/>
        </w:numPr>
      </w:pPr>
      <w:r>
        <w:rPr/>
        <w:t xml:space="preserve">le détail du prélaquage (galvanisation et primaire).</w:t>
      </w:r>
    </w:p>
    <w:p>
      <w:pPr/>
      <w:r>
        <w:rPr/>
        <w:t xml:space="preserve">Dans le cas de matériaux revêtus pour protection vis-à-vis de l’oxydation, décrire le revêtement métallique et catégorie du laquage éventuel selon NF P 34-301, ou ETPM le cas échéant.</w:t>
      </w:r>
    </w:p>
    <w:p>
      <w:pPr/>
      <w:r>
        <w:rPr>
          <w:b/>
          <w:bCs/>
        </w:rPr>
        <w:t xml:space="preserve">Justification</w:t>
      </w:r>
    </w:p>
    <w:p>
      <w:pPr/>
      <w:r>
        <w:rPr/>
        <w:t xml:space="preserve">Fournir l’ensemble des fiches techniques et des fiches de conformité du fabricant à la norme de référence pour chaque nuance de métal (ou ETPM).</w:t>
      </w:r>
    </w:p>
    <w:p>
      <w:pPr>
        <w:ind w:left="1440" w:right="0"/>
      </w:pPr>
      <w:r>
        <w:rPr>
          <w:rStyle w:val="font_h3"/>
        </w:rPr>
        <w:t xml:space="preserve">3.1.3. Revêtement</w:t>
      </w:r>
    </w:p>
    <w:p>
      <w:pPr/>
      <w:r>
        <w:rPr/>
        <w:t xml:space="preserve">Validé par le Groupe Spécialisé le 05/02/2018</w:t>
      </w:r>
    </w:p>
    <w:p>
      <w:pPr/>
      <w:r>
        <w:rPr>
          <w:b/>
          <w:bCs/>
        </w:rPr>
        <w:t xml:space="preserve">Description</w:t>
      </w:r>
    </w:p>
    <w:p>
      <w:pPr/>
      <w:r>
        <w:rPr/>
        <w:t xml:space="preserve">Indiquer la composition du revêtement et ses caractéristiques (densité, extrait sec, épaisseur).Le tableau d’adaptation du revêtement en fonction des atmosphères extérieures doit être établi sur la base de l’expérience reconnue et réussie. L’adaptation est donnée en fin de dossier.</w:t>
      </w:r>
    </w:p>
    <w:p>
      <w:pPr/>
      <w:r>
        <w:rPr>
          <w:b/>
          <w:bCs/>
        </w:rPr>
        <w:t xml:space="preserve">Justification</w:t>
      </w:r>
    </w:p>
    <w:p>
      <w:pPr/>
      <w:r>
        <w:rPr/>
        <w:t xml:space="preserve">Fournir la conformité à la règlementation incendie (masse surfacique, PCS…). Fournir la fiche technique du revêtement « décoratif » utilisé. Fournir au moins 3 références significatives par atmosphère et par revêtement.</w:t>
      </w:r>
    </w:p>
    <w:p>
      <w:pPr>
        <w:ind w:left="1440" w:right="0"/>
      </w:pPr>
      <w:r>
        <w:rPr>
          <w:rStyle w:val="font_h3"/>
        </w:rPr>
        <w:t xml:space="preserve">3.1.4. Caractéristiques dimensionnelles et pondérales</w:t>
      </w:r>
    </w:p>
    <w:p>
      <w:pPr/>
      <w:r>
        <w:rPr/>
        <w:t xml:space="preserve">Validé par le Groupe Spécialisé le 05/02/2018</w:t>
      </w:r>
    </w:p>
    <w:p>
      <w:pPr/>
      <w:r>
        <w:rPr>
          <w:b/>
          <w:bCs/>
        </w:rPr>
        <w:t xml:space="preserve">Description</w:t>
      </w:r>
    </w:p>
    <w:p>
      <w:pPr/>
      <w:r>
        <w:rPr/>
        <w:t xml:space="preserve">Renvoyer au tableau des caractéristiques dimensionnelles en fin de dossier.</w:t>
      </w:r>
    </w:p>
    <w:p>
      <w:pPr/>
      <w:r>
        <w:rPr>
          <w:b/>
          <w:bCs/>
        </w:rPr>
        <w:t xml:space="preserve">Justification</w:t>
      </w:r>
    </w:p>
    <w:p>
      <w:pPr/>
      <w:r>
        <w:rPr/>
        <w:t xml:space="preserve">Fournir un tableau de synthèse des caractéristiques géométriques (longueurs hors tout et utile, largeurs hors tout et utile, nombre d’éléments au m², poids par élément, poids surfacique).</w:t>
      </w:r>
    </w:p>
    <w:p>
      <w:pPr>
        <w:ind w:left="720" w:right="0"/>
      </w:pPr>
      <w:r>
        <w:rPr>
          <w:rStyle w:val="font_h2"/>
        </w:rPr>
        <w:t xml:space="preserve">3.2. Accessoires de couverture</w:t>
      </w:r>
    </w:p>
    <w:p>
      <w:pPr/>
      <w:r>
        <w:rPr/>
        <w:t xml:space="preserve">Validé par le Groupe Spécialisé le 05/02/2018</w:t>
      </w:r>
    </w:p>
    <w:p>
      <w:pPr/>
      <w:r>
        <w:rPr>
          <w:b/>
          <w:bCs/>
        </w:rPr>
        <w:t xml:space="preserve">Description</w:t>
      </w:r>
    </w:p>
    <w:p>
      <w:pPr/>
      <w:r>
        <w:rPr/>
        <w:t xml:space="preserve">Préciser les accessoires associés aux tuiles. Renvoyer aux figures des accessoires qui contiennent leurs caractéristiques géométriques. Donner la composition des accessoires de façon identique aux tuiles.</w:t>
      </w:r>
    </w:p>
    <w:p>
      <w:pPr/>
      <w:r>
        <w:rPr>
          <w:b/>
          <w:bCs/>
        </w:rPr>
        <w:t xml:space="preserve">Justification</w:t>
      </w:r>
    </w:p>
    <w:p>
      <w:pPr/>
      <w:r>
        <w:rPr/>
        <w:t xml:space="preserve">Justifier la durabilité des accessoires (caractéristiques mécaniques avant et après vieillissement UV, chaleur) et leur fiche technique.</w:t>
      </w:r>
    </w:p>
    <w:p>
      <w:pPr/>
      <w:r>
        <w:rPr>
          <w:b/>
          <w:bCs/>
        </w:rPr>
        <w:t xml:space="preserve">Illustration</w:t>
      </w:r>
    </w:p>
    <w:p>
      <w:pPr/>
      <w:r>
        <w:rPr/>
        <w:t xml:space="preserve">Fournir une figure cotée pour chacun des accessoires.</w:t>
      </w:r>
    </w:p>
    <w:p>
      <w:pPr>
        <w:ind w:left="720" w:right="0"/>
      </w:pPr>
      <w:r>
        <w:rPr>
          <w:rStyle w:val="font_h2"/>
        </w:rPr>
        <w:t xml:space="preserve">3.3. Accessoires de fixations</w:t>
      </w:r>
    </w:p>
    <w:p>
      <w:pPr/>
      <w:r>
        <w:rPr/>
        <w:t xml:space="preserve">Validé par le Groupe Spécialisé le 05/02/2018</w:t>
      </w:r>
    </w:p>
    <w:p>
      <w:pPr/>
      <w:r>
        <w:rPr>
          <w:b/>
          <w:bCs/>
        </w:rPr>
        <w:t xml:space="preserve">Description</w:t>
      </w:r>
    </w:p>
    <w:p>
      <w:pPr/>
      <w:r>
        <w:rPr/>
        <w:t xml:space="preserve">Préciser les accessoires de fixations (clous, vis, crochets). Donner la composition (nuance du métal…), les dimensions et la protection contre la corrosion (épaisseur de galvanisation…) des fixations. Indiquer les caractéristiques minimales des fixations indiquant leur résistance caractéristique à l’arrachement Pk obtenue selon la NF P 30-310 et en cisaillement obtenue selon la NF P 30-316. Prévoir des fixations destinées au bord de mer.</w:t>
      </w:r>
    </w:p>
    <w:p>
      <w:pPr/>
      <w:r>
        <w:rPr>
          <w:b/>
          <w:bCs/>
        </w:rPr>
        <w:t xml:space="preserve">Justification</w:t>
      </w:r>
    </w:p>
    <w:p>
      <w:pPr/>
      <w:r>
        <w:rPr/>
        <w:t xml:space="preserve">Fournir les fiches techniques des fixations (avec indication du Pk).</w:t>
      </w:r>
    </w:p>
    <w:p>
      <w:pPr>
        <w:ind w:left="720" w:right="0"/>
      </w:pPr>
      <w:r>
        <w:rPr>
          <w:rStyle w:val="font_h2"/>
        </w:rPr>
        <w:t xml:space="preserve">3.4. Kit de finition ou de réparation</w:t>
      </w:r>
    </w:p>
    <w:p>
      <w:pPr/>
      <w:r>
        <w:rPr/>
        <w:t xml:space="preserve">Validé par le Groupe Spécialisé le 05/02/2018</w:t>
      </w:r>
    </w:p>
    <w:p>
      <w:pPr/>
      <w:r>
        <w:rPr>
          <w:b/>
          <w:bCs/>
        </w:rPr>
        <w:t xml:space="preserve">Description</w:t>
      </w:r>
    </w:p>
    <w:p>
      <w:pPr/>
      <w:r>
        <w:rPr/>
        <w:t xml:space="preserve">Indiquer la composition du kit de finition et son utilisation.</w:t>
      </w:r>
    </w:p>
    <w:p>
      <w:pPr/>
      <w:r>
        <w:rPr>
          <w:b/>
          <w:bCs/>
        </w:rPr>
        <w:t xml:space="preserve">Justification</w:t>
      </w:r>
    </w:p>
    <w:p>
      <w:pPr/>
      <w:r>
        <w:rPr/>
        <w:t xml:space="preserve">Fournir la fiche technique du kit de finition/réparation. Justifier la durabilité.</w:t>
      </w:r>
    </w:p>
    <w:p>
      <w:pPr>
        <w:ind w:left="720" w:right="0"/>
      </w:pPr>
      <w:r>
        <w:rPr>
          <w:rStyle w:val="font_h2"/>
        </w:rPr>
        <w:t xml:space="preserve">3.5. Outillage de mise en oeuvre</w:t>
      </w:r>
    </w:p>
    <w:p>
      <w:pPr/>
      <w:r>
        <w:rPr/>
        <w:t xml:space="preserve">Validé par le Groupe Spécialisé le 05/02/2018</w:t>
      </w:r>
    </w:p>
    <w:p>
      <w:pPr/>
      <w:r>
        <w:rPr>
          <w:b/>
          <w:bCs/>
        </w:rPr>
        <w:t xml:space="preserve">Description</w:t>
      </w:r>
    </w:p>
    <w:p>
      <w:pPr/>
      <w:r>
        <w:rPr/>
        <w:t xml:space="preserve">Décrire l’outillage de mise en œuvre des tuiles.</w:t>
      </w:r>
    </w:p>
    <w:p>
      <w:pPr>
        <w:ind w:left="720" w:right="0"/>
      </w:pPr>
      <w:r>
        <w:rPr>
          <w:rStyle w:val="font_h2"/>
        </w:rPr>
        <w:t xml:space="preserve">3.6. Ecran souple de sous-toiture</w:t>
      </w:r>
    </w:p>
    <w:p>
      <w:pPr/>
      <w:r>
        <w:rPr/>
        <w:t xml:space="preserve">Validé par le Groupe Spécialisé le 05/02/2018</w:t>
      </w:r>
    </w:p>
    <w:p>
      <w:pPr/>
      <w:r>
        <w:rPr>
          <w:b/>
          <w:bCs/>
        </w:rPr>
        <w:t xml:space="preserve">Description</w:t>
      </w:r>
    </w:p>
    <w:p>
      <w:pPr/>
      <w:r>
        <w:rPr/>
        <w:t xml:space="preserve">Indiquer si l’écran est certifié QB25. indiquer ses caractéristiques en fonction de la composition de la paroi.</w:t>
      </w:r>
    </w:p>
    <w:p>
      <w:pPr/>
      <w:r>
        <w:rPr>
          <w:rStyle w:val="font_h1"/>
        </w:rPr>
        <w:t xml:space="preserve">4. Fabrication</w:t>
      </w:r>
    </w:p>
    <w:p>
      <w:pPr/>
      <w:r>
        <w:rPr/>
        <w:t xml:space="preserve">Validé par le Groupe Spécialisé le 05/02/2018</w:t>
      </w:r>
    </w:p>
    <w:p>
      <w:pPr/>
      <w:r>
        <w:rPr>
          <w:b/>
          <w:bCs/>
        </w:rPr>
        <w:t xml:space="preserve">Description</w:t>
      </w:r>
    </w:p>
    <w:p>
      <w:pPr/>
      <w:r>
        <w:rPr/>
        <w:t xml:space="preserve">Décrire succinctement la fabrication. Préciser les lieux de production.</w:t>
      </w:r>
    </w:p>
    <w:p>
      <w:pPr/>
      <w:r>
        <w:rPr>
          <w:rStyle w:val="font_h1"/>
        </w:rPr>
        <w:t xml:space="preserve">5. Contrôles de fabrication</w:t>
      </w:r>
    </w:p>
    <w:p>
      <w:pPr>
        <w:ind w:left="720" w:right="0"/>
      </w:pPr>
      <w:r>
        <w:rPr>
          <w:rStyle w:val="font_h2"/>
        </w:rPr>
        <w:t xml:space="preserve">5.2. Contrôles</w:t>
      </w:r>
    </w:p>
    <w:p>
      <w:pPr>
        <w:ind w:left="1440" w:right="0"/>
      </w:pPr>
      <w:r>
        <w:rPr>
          <w:rStyle w:val="font_h3"/>
        </w:rPr>
        <w:t xml:space="preserve">5.2.1. Contrôles sur matières premières</w:t>
      </w:r>
    </w:p>
    <w:p>
      <w:pPr/>
      <w:r>
        <w:rPr/>
        <w:t xml:space="preserve">Validé par le Groupe Spécialisé le 05/02/2018</w:t>
      </w:r>
    </w:p>
    <w:p>
      <w:pPr/>
      <w:r>
        <w:rPr>
          <w:b/>
          <w:bCs/>
        </w:rPr>
        <w:t xml:space="preserve">Description</w:t>
      </w:r>
    </w:p>
    <w:p>
      <w:pPr/>
      <w:r>
        <w:rPr/>
        <w:t xml:space="preserve">Décrire les contrôles (normes d’essais ou procédure interne, fréquence et spécifications retenues) et préciser le référentiel qui décrit les autocontrôles à réception des matières premières.</w:t>
      </w:r>
    </w:p>
    <w:p>
      <w:pPr/>
      <w:r>
        <w:rPr>
          <w:b/>
          <w:bCs/>
        </w:rPr>
        <w:t xml:space="preserve">Justification</w:t>
      </w:r>
    </w:p>
    <w:p>
      <w:pPr/>
      <w:r>
        <w:rPr/>
        <w:t xml:space="preserve">Fournir les autocontrôles.</w:t>
      </w:r>
    </w:p>
    <w:p>
      <w:pPr>
        <w:ind w:left="1440" w:right="0"/>
      </w:pPr>
      <w:r>
        <w:rPr>
          <w:rStyle w:val="font_h3"/>
        </w:rPr>
        <w:t xml:space="preserve">5.2.2. Contrôles de fabrication</w:t>
      </w:r>
    </w:p>
    <w:p>
      <w:pPr/>
      <w:r>
        <w:rPr/>
        <w:t xml:space="preserve">Validé par le Groupe Spécialisé le 05/02/2018</w:t>
      </w:r>
    </w:p>
    <w:p>
      <w:pPr/>
      <w:r>
        <w:rPr>
          <w:b/>
          <w:bCs/>
        </w:rPr>
        <w:t xml:space="preserve">Description</w:t>
      </w:r>
    </w:p>
    <w:p>
      <w:pPr/>
      <w:r>
        <w:rPr/>
        <w:t xml:space="preserve">Décrire les contrôles (normes d’essais ou procédure interne, fréquence et spécifications retenues) et préciser le référentiel qui décrit les autocontrôles en cours de fabrication et sur produits finis.</w:t>
      </w:r>
    </w:p>
    <w:p>
      <w:pPr/>
      <w:r>
        <w:rPr>
          <w:b/>
          <w:bCs/>
        </w:rPr>
        <w:t xml:space="preserve">Justification</w:t>
      </w:r>
    </w:p>
    <w:p>
      <w:pPr/>
      <w:r>
        <w:rPr/>
        <w:t xml:space="preserve">Fournir les autocontrôles.</w:t>
      </w:r>
    </w:p>
    <w:p>
      <w:pPr>
        <w:ind w:left="720" w:right="0"/>
      </w:pPr>
      <w:r>
        <w:rPr>
          <w:rStyle w:val="font_h2"/>
        </w:rPr>
        <w:t xml:space="preserve">5.3. Supervision des contrôles</w:t>
      </w:r>
    </w:p>
    <w:p>
      <w:pPr/>
      <w:r>
        <w:rPr/>
        <w:t xml:space="preserve">Validé par le Groupe Spécialisé le 05/02/2018</w:t>
      </w:r>
    </w:p>
    <w:p>
      <w:pPr/>
      <w:r>
        <w:rPr>
          <w:b/>
          <w:bCs/>
        </w:rPr>
        <w:t xml:space="preserve">Description</w:t>
      </w:r>
    </w:p>
    <w:p>
      <w:pPr/>
      <w:r>
        <w:rPr/>
        <w:t xml:space="preserve">Préciser si l’usine de fabrication dispose d’une supervision des contrôles et, si oui, indiquer l’organisme et la fréquence de supervision.</w:t>
      </w:r>
    </w:p>
    <w:p>
      <w:pPr/>
      <w:r>
        <w:rPr>
          <w:rStyle w:val="font_h1"/>
        </w:rPr>
        <w:t xml:space="preserve">6. Identification du produit</w:t>
      </w:r>
    </w:p>
    <w:p>
      <w:pPr/>
      <w:r>
        <w:rPr/>
        <w:t xml:space="preserve">Validé par le Groupe Spécialisé le 15/04/2019</w:t>
      </w:r>
    </w:p>
    <w:p>
      <w:pPr/>
      <w:r>
        <w:rPr>
          <w:b/>
          <w:bCs/>
        </w:rPr>
        <w:t xml:space="preserve">Description</w:t>
      </w:r>
    </w:p>
    <w:p>
      <w:pPr/>
      <w:r>
        <w:rPr/>
        <w:t xml:space="preserve">Les éléments (indiquer la dénomination commerciale du procédé) sont caractérisés par leurs géométries particulières de profilage et d’emboutissage, illustrées par la figure 1 du Dossier Technique.</w:t>
      </w:r>
    </w:p>
    <w:p>
      <w:pPr>
        <w:pPr/>
        <w:numPr>
          <w:ilvl w:val="0"/>
          <w:numId w:val="12"/>
        </w:numPr>
      </w:pPr>
      <w:r>
        <w:rPr/>
        <w:t xml:space="preserve">Indiquer la présence de marquage. </w:t>
      </w:r>
    </w:p>
    <w:p>
      <w:pPr>
        <w:pPr/>
        <w:numPr>
          <w:ilvl w:val="0"/>
          <w:numId w:val="12"/>
        </w:numPr>
      </w:pPr>
      <w:r>
        <w:rPr/>
        <w:t xml:space="preserve">Renvoyer à la norme de marquage CE du produit.</w:t>
      </w:r>
    </w:p>
    <w:p>
      <w:pPr>
        <w:pPr/>
        <w:numPr>
          <w:ilvl w:val="0"/>
          <w:numId w:val="12"/>
        </w:numPr>
      </w:pPr>
      <w:r>
        <w:rPr/>
        <w:t xml:space="preserve">Lister les marquages du produit et indiquer ce marquage sur les figures.</w:t>
      </w:r>
    </w:p>
    <w:p>
      <w:pPr/>
      <w:r>
        <w:rPr>
          <w:rStyle w:val="font_h1"/>
        </w:rPr>
        <w:t xml:space="preserve">7. Mise en oeuvre</w:t>
      </w:r>
    </w:p>
    <w:p>
      <w:pPr>
        <w:ind w:left="720" w:right="0"/>
      </w:pPr>
      <w:r>
        <w:rPr>
          <w:rStyle w:val="font_h2"/>
        </w:rPr>
        <w:t xml:space="preserve">7.1. Dimensionnement</w:t>
      </w:r>
    </w:p>
    <w:p>
      <w:pPr/>
      <w:r>
        <w:rPr/>
        <w:t xml:space="preserve">Validé par le Groupe Spécialisé le 03/06/2019</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7.2. Pente et longueur de rampant</w:t>
      </w:r>
    </w:p>
    <w:p>
      <w:pPr/>
      <w:r>
        <w:rPr/>
        <w:t xml:space="preserve">Validé par le Groupe Spécialisé le 15/04/2019</w:t>
      </w:r>
    </w:p>
    <w:p>
      <w:pPr/>
      <w:r>
        <w:rPr>
          <w:b/>
          <w:bCs/>
        </w:rPr>
        <w:t xml:space="preserve">Description</w:t>
      </w:r>
    </w:p>
    <w:p>
      <w:pPr/>
      <w:r>
        <w:rPr/>
        <w:t xml:space="preserve">La longueur maximale de rampant est justifiée en conséquence. Le tableau des pentes doit être établi sur la base de l’expérience reconnue et réussie. Les pentes sont données en fin de dossier dans un tableau. Distinguer, le cas échéant, les pentes admissibles avec ou sans écran se sous toiture. Les pentes sont données en %, en fonction de la situation et de la zone.</w:t>
      </w:r>
    </w:p>
    <w:p>
      <w:pPr/>
      <w:r>
        <w:rPr>
          <w:b/>
          <w:bCs/>
        </w:rPr>
        <w:t xml:space="preserve">Justification</w:t>
      </w:r>
    </w:p>
    <w:p>
      <w:pPr/>
      <w:r>
        <w:rPr/>
        <w:t xml:space="preserve">Pour l’établissement du tableau de pentes, fournir au moins 3 références chantier significatives par situation (protégée, normale, exposée) et par zone d’application (1,2 ou 3). Fournir les essais d’étanchéité en soufflerie climatique selon le domaine d’emploi revendiqué.</w:t>
      </w:r>
    </w:p>
    <w:p>
      <w:pPr>
        <w:ind w:left="720" w:right="0"/>
      </w:pPr>
      <w:r>
        <w:rPr>
          <w:rStyle w:val="font_h2"/>
        </w:rPr>
        <w:t xml:space="preserve">7.3. Etablissement du support</w:t>
      </w:r>
    </w:p>
    <w:p>
      <w:pPr/>
      <w:r>
        <w:rPr/>
        <w:t xml:space="preserve">Validé par le Groupe Spécialisé le 05/02/2018</w:t>
      </w:r>
    </w:p>
    <w:p>
      <w:pPr/>
      <w:r>
        <w:rPr>
          <w:b/>
          <w:bCs/>
        </w:rPr>
        <w:t xml:space="preserve">Description</w:t>
      </w:r>
    </w:p>
    <w:p>
      <w:pPr/>
      <w:r>
        <w:rPr/>
        <w:t xml:space="preserve">Indiquer le dimensionnement et les sections des liteaux selon l’espacement des chevrons.Donner l’espacement entre liteaux</w:t>
      </w:r>
    </w:p>
    <w:p>
      <w:pPr>
        <w:ind w:left="720" w:right="0"/>
      </w:pPr>
      <w:r>
        <w:rPr>
          <w:rStyle w:val="font_h2"/>
        </w:rPr>
        <w:t xml:space="preserve">7.4. Cas de la rénovation</w:t>
      </w:r>
    </w:p>
    <w:p>
      <w:pPr>
        <w:ind w:left="1440" w:right="0"/>
      </w:pPr>
      <w:r>
        <w:rPr>
          <w:rStyle w:val="font_h3"/>
        </w:rPr>
        <w:t xml:space="preserve">7.4.1. Conditions de conservation de l'ancienne couverture en bardeaux bitumés, destinée à assurer la fonction d'écran de sous-toiture</w:t>
      </w:r>
    </w:p>
    <w:p>
      <w:pPr/>
      <w:r>
        <w:rPr/>
        <w:t xml:space="preserve">Validé par le Groupe Spécialisé le 05/02/2018</w:t>
      </w:r>
    </w:p>
    <w:p>
      <w:pPr/>
      <w:r>
        <w:rPr>
          <w:b/>
          <w:bCs/>
        </w:rPr>
        <w:t xml:space="preserve">Description</w:t>
      </w:r>
    </w:p>
    <w:p>
      <w:pPr/>
      <w:r>
        <w:rPr/>
        <w:t xml:space="preserve">"L’ancienne couverture est déposée lorsque les bardeaux bitumés en place ne sont pas conformes aux prescriptions du DTU 40.14 ou lorsqu’ils sont soit :•   À armature cellulosique ;•   D’épaisseur supérieure à 3,8 mm ;•   Fixés avec des crochets ;•   Sur des éléments porteurs détériorés ;•   Posés sur support discontinus ;•   Fortement fissurés ou déformés.Il y a lieu de procéder à un diagnostic du support afin de s’assurer que celui-ci est apte à recevoir la nouvelle couverture."</w:t>
      </w:r>
    </w:p>
    <w:p>
      <w:pPr>
        <w:ind w:left="1440" w:right="0"/>
      </w:pPr>
      <w:r>
        <w:rPr>
          <w:rStyle w:val="font_h3"/>
        </w:rPr>
        <w:t xml:space="preserve">7.4.2. Rénovation sur bardeaux bitumés conservés</w:t>
      </w:r>
    </w:p>
    <w:p>
      <w:pPr/>
      <w:r>
        <w:rPr/>
        <w:t xml:space="preserve">Validé par le Groupe Spécialisé le 15/04/2019</w:t>
      </w:r>
    </w:p>
    <w:p>
      <w:pPr/>
      <w:r>
        <w:rPr>
          <w:b/>
          <w:bCs/>
        </w:rPr>
        <w:t xml:space="preserve">Description</w:t>
      </w:r>
    </w:p>
    <w:p>
      <w:pPr/>
      <w:r>
        <w:rPr/>
        <w:t xml:space="preserve">Dans ce cas, lorsque la couverture existante est conservée, elle peut assurer la protection à la neige poudreuse, à condition de maintenir la ventilation existante sous les panneaux supports. Les ventilations existantes des panneaux supports sont remontées sur la couverture (indiquer la dénomination commerciale du procédé) en les raccordant à un élément de ventilation.Les contre-lattes sont posées sur les bardeaux, fixées dans la charpente à travers ceux-ci et leur support (panneaux de particules, contre-plaqué, voliges).La ventilation de la sous-face de la toiture (indiquer la dénomination commerciale du procédé) est d’au moins 20 mm. Elle est assurée au moyen de la contre-latte de 20 x 36 mm minimum.La ventilation de la toiture (indiquer la dénomination commerciale du procédé) peut être assurée en partie basse par les entrées d’air dans le bandeau d’avant toit ou par les entrées d’air du pied de versant (bavette d’égout). En partie haute, la ventilation est assurée par les sorties d’air aménagées dans le faîtage ventilé.Dans la vérification du dimensionnement, on veillera à tenir compte du poids propre de la nouvelle couverture soit environ (indiquer le poids propre du procédé) kg/m².</w:t>
      </w:r>
    </w:p>
    <w:p>
      <w:pPr>
        <w:ind w:left="1440" w:right="0"/>
      </w:pPr>
      <w:r>
        <w:rPr>
          <w:rStyle w:val="font_h3"/>
        </w:rPr>
        <w:t xml:space="preserve">7.4.3. Travaux préparatoires</w:t>
      </w:r>
    </w:p>
    <w:p>
      <w:pPr/>
      <w:r>
        <w:rPr/>
        <w:t xml:space="preserve">Validé par le Groupe Spécialisé le 15/04/2019</w:t>
      </w:r>
    </w:p>
    <w:p>
      <w:pPr/>
      <w:r>
        <w:rPr>
          <w:b/>
          <w:bCs/>
        </w:rPr>
        <w:t xml:space="preserve">Description</w:t>
      </w:r>
    </w:p>
    <w:p>
      <w:pPr/>
      <w:r>
        <w:rPr/>
        <w:t xml:space="preserve">Nettoyer les éléments de couverture des mousses, lichens…Il convient en premier lieu de s’assurer que :</w:t>
      </w:r>
    </w:p>
    <w:p>
      <w:pPr>
        <w:pPr/>
        <w:numPr>
          <w:ilvl w:val="0"/>
          <w:numId w:val="13"/>
        </w:numPr>
      </w:pPr>
      <w:r>
        <w:rPr/>
        <w:t xml:space="preserve">La pente et la longueur de rampant sont conformes au paragraphe X ;</w:t>
      </w:r>
    </w:p>
    <w:p>
      <w:pPr>
        <w:pPr/>
        <w:numPr>
          <w:ilvl w:val="0"/>
          <w:numId w:val="13"/>
        </w:numPr>
      </w:pPr>
      <w:r>
        <w:rPr/>
        <w:t xml:space="preserve">La structure porteuse est apte à reprendre les charges apportées par la mise en place de la nouvelle couverture ;</w:t>
      </w:r>
    </w:p>
    <w:p>
      <w:pPr>
        <w:pPr/>
        <w:numPr>
          <w:ilvl w:val="0"/>
          <w:numId w:val="13"/>
        </w:numPr>
      </w:pPr>
      <w:r>
        <w:rPr/>
        <w:t xml:space="preserve">La couverture en bardeaux bitumés est conforme aux prescriptions du DTU 40.14 ;</w:t>
      </w:r>
    </w:p>
    <w:p>
      <w:pPr>
        <w:pPr/>
        <w:numPr>
          <w:ilvl w:val="0"/>
          <w:numId w:val="13"/>
        </w:numPr>
      </w:pPr>
      <w:r>
        <w:rPr/>
        <w:t xml:space="preserve">Les sections de ventilations existantes sont suffisantes et dans le cas contraire elles doivent être remises en conformité avec les prescriptions du DTU 40.14."</w:t>
      </w:r>
    </w:p>
    <w:p>
      <w:pPr>
        <w:ind w:left="720" w:right="0"/>
      </w:pPr>
      <w:r>
        <w:rPr>
          <w:rStyle w:val="font_h2"/>
        </w:rPr>
        <w:t xml:space="preserve">7.5. Mise en oeuvre des éléments courants</w:t>
      </w:r>
    </w:p>
    <w:p>
      <w:pPr/>
      <w:r>
        <w:rPr/>
        <w:t xml:space="preserve">Validé par le Groupe Spécialisé le 02/05/2017</w:t>
      </w:r>
    </w:p>
    <w:p>
      <w:pPr/>
      <w:r>
        <w:rPr>
          <w:b/>
          <w:bCs/>
        </w:rPr>
        <w:t xml:space="preserve">Description</w:t>
      </w:r>
    </w:p>
    <w:p>
      <w:pPr/>
      <w:r>
        <w:rPr/>
        <w:t xml:space="preserve">Indiquer le mode de pose des éléments (de haut en bas, à joints croisés…). Indiquer la densité de fixation. Renvoyer au tableau de résistance des tuiles.</w:t>
      </w:r>
    </w:p>
    <w:p>
      <w:pPr/>
      <w:r>
        <w:rPr>
          <w:b/>
          <w:bCs/>
        </w:rPr>
        <w:t xml:space="preserve">Justification</w:t>
      </w:r>
    </w:p>
    <w:p>
      <w:pPr/>
      <w:r>
        <w:rPr/>
        <w:t xml:space="preserve">Fournir des tableaux de résistance des tuiles (pose sur 2 ou 3 appuis dans le cas de liteaux) aux charges climatiques (vent, neige si pose sur liteaux…) accompagnés des rapports d’essais de flexion sous charges ascendante et descendante (liteaux seulement) et de la note de calcul précisant les critères de flèche et les coefficients de sécurité vis-à-vis de la ruine. Fournir les rapports d’essais de sécurité à la marche (si pose sur liteaux et entraxe supérieur à 40 cm).</w:t>
      </w:r>
    </w:p>
    <w:p>
      <w:pPr/>
      <w:r>
        <w:rPr>
          <w:b/>
          <w:bCs/>
        </w:rPr>
        <w:t xml:space="preserve">Illustration</w:t>
      </w:r>
    </w:p>
    <w:p>
      <w:pPr/>
      <w:r>
        <w:rPr/>
        <w:t xml:space="preserve">Fournir une figure la pose des tuiles sur deux rangs au moins afin de visualiser les recouvrements et les fixations. Fournir une figure cotée de la fixation normale des tuiles courantes en vue en coupe. Fournir une figure cotée de l’agencement des liteaux</w:t>
      </w:r>
    </w:p>
    <w:p>
      <w:pPr/>
      <w:r>
        <w:rPr>
          <w:b/>
          <w:bCs/>
        </w:rPr>
        <w:t xml:space="preserve">Critères d'évaluation</w:t>
      </w:r>
    </w:p>
    <w:p>
      <w:pPr/>
      <w:r>
        <w:rPr/>
        <w:t xml:space="preserve">Pour les tuiles métalliques, le dimensionnement devra se faire avec un coefficient de sécurité de 2 (2.35 si rupture des fixations). Pour une mise en œuvre à faible pente, il sera nécessaire de tenir compte de la flèche au 1/200ème de la portée.</w:t>
      </w:r>
    </w:p>
    <w:p>
      <w:pPr>
        <w:ind w:left="720" w:right="0"/>
      </w:pPr>
      <w:r>
        <w:rPr>
          <w:rStyle w:val="font_h2"/>
        </w:rPr>
        <w:t xml:space="preserve">7.6. Réalisation des points singuliers de la couverture</w:t>
      </w:r>
    </w:p>
    <w:p>
      <w:pPr>
        <w:ind w:left="1440" w:right="0"/>
      </w:pPr>
      <w:r>
        <w:rPr>
          <w:rStyle w:val="font_h3"/>
        </w:rPr>
        <w:t xml:space="preserve">7.6.1. Arêtiers</w:t>
      </w:r>
    </w:p>
    <w:p>
      <w:pPr>
        <w:ind w:left="1440" w:right="0"/>
      </w:pPr>
      <w:r>
        <w:rPr>
          <w:rStyle w:val="font_h3"/>
        </w:rPr>
        <w:t xml:space="preserve">7.6.2. Généralités</w:t>
      </w:r>
    </w:p>
    <w:p>
      <w:pPr/>
      <w:r>
        <w:rPr/>
        <w:t xml:space="preserve">Validé par le Groupe Spécialisé le 05/02/2018</w:t>
      </w:r>
    </w:p>
    <w:p>
      <w:pPr/>
      <w:r>
        <w:rPr>
          <w:b/>
          <w:bCs/>
        </w:rPr>
        <w:t xml:space="preserve">Description</w:t>
      </w:r>
    </w:p>
    <w:p>
      <w:pPr/>
      <w:r>
        <w:rPr/>
        <w:t xml:space="preserve">Décrire la mise en œuvre aux faîtages, arêtiers, rives, égouts, noues et pénétrations.</w:t>
      </w:r>
    </w:p>
    <w:p>
      <w:pPr/>
      <w:r>
        <w:rPr>
          <w:b/>
          <w:bCs/>
        </w:rPr>
        <w:t xml:space="preserve">Justification</w:t>
      </w:r>
    </w:p>
    <w:p>
      <w:pPr/>
      <w:r>
        <w:rPr/>
        <w:t xml:space="preserve">Fournir la justification de la compatibilité des accessoires avec les tuiles.</w:t>
      </w:r>
    </w:p>
    <w:p>
      <w:pPr/>
      <w:r>
        <w:rPr>
          <w:b/>
          <w:bCs/>
        </w:rPr>
        <w:t xml:space="preserve">Illustration</w:t>
      </w:r>
    </w:p>
    <w:p>
      <w:pPr/>
      <w:r>
        <w:rPr/>
        <w:t xml:space="preserve">Fournir une figure cotée pour chacun des points singuliers.</w:t>
      </w:r>
    </w:p>
    <w:p>
      <w:pPr>
        <w:ind w:left="1440" w:right="0"/>
      </w:pPr>
      <w:r>
        <w:rPr>
          <w:rStyle w:val="font_h3"/>
        </w:rPr>
        <w:t xml:space="preserve">7.6.3. Faîtages</w:t>
      </w:r>
    </w:p>
    <w:p>
      <w:pPr>
        <w:ind w:left="1440" w:right="0"/>
      </w:pPr>
      <w:r>
        <w:rPr>
          <w:rStyle w:val="font_h3"/>
        </w:rPr>
        <w:t xml:space="preserve">7.6.4. Faîtages contre-mur</w:t>
      </w:r>
    </w:p>
    <w:p>
      <w:pPr>
        <w:ind w:left="1440" w:right="0"/>
      </w:pPr>
      <w:r>
        <w:rPr>
          <w:rStyle w:val="font_h3"/>
        </w:rPr>
        <w:t xml:space="preserve">7.6.5. Rives latérales</w:t>
      </w:r>
    </w:p>
    <w:p>
      <w:pPr>
        <w:ind w:left="1440" w:right="0"/>
      </w:pPr>
      <w:r>
        <w:rPr>
          <w:rStyle w:val="font_h3"/>
        </w:rPr>
        <w:t xml:space="preserve">7.6.6. Rives de tête</w:t>
      </w:r>
    </w:p>
    <w:p>
      <w:pPr>
        <w:ind w:left="1440" w:right="0"/>
      </w:pPr>
      <w:r>
        <w:rPr>
          <w:rStyle w:val="font_h3"/>
        </w:rPr>
        <w:t xml:space="preserve">7.6.7. Egouts</w:t>
      </w:r>
    </w:p>
    <w:p>
      <w:pPr>
        <w:ind w:left="1440" w:right="0"/>
      </w:pPr>
      <w:r>
        <w:rPr>
          <w:rStyle w:val="font_h3"/>
        </w:rPr>
        <w:t xml:space="preserve">7.6.8. Noues</w:t>
      </w:r>
    </w:p>
    <w:p>
      <w:pPr/>
      <w:r>
        <w:rPr/>
        <w:t xml:space="preserve">Validé par le Groupe Spécialisé le 15/04/2019</w:t>
      </w:r>
    </w:p>
    <w:p>
      <w:pPr/>
      <w:r>
        <w:rPr>
          <w:b/>
          <w:bCs/>
        </w:rPr>
        <w:t xml:space="preserve">Description</w:t>
      </w:r>
    </w:p>
    <w:p>
      <w:pPr/>
      <w:r>
        <w:rPr/>
        <w:t xml:space="preserve">Renvoyer à une noue conforme au DTU 40.41.</w:t>
      </w:r>
    </w:p>
    <w:p>
      <w:pPr/>
      <w:r>
        <w:rPr>
          <w:b/>
          <w:bCs/>
        </w:rPr>
        <w:t xml:space="preserve">Illustration</w:t>
      </w:r>
    </w:p>
    <w:p>
      <w:pPr/>
      <w:r>
        <w:rPr/>
        <w:t xml:space="preserve">Représenter une noue classique telle que dans le DTU 40.41.</w:t>
      </w:r>
    </w:p>
    <w:p>
      <w:pPr>
        <w:ind w:left="1440" w:right="0"/>
      </w:pPr>
      <w:r>
        <w:rPr>
          <w:rStyle w:val="font_h3"/>
        </w:rPr>
        <w:t xml:space="preserve">7.6.9. Pénétrations discontinues (fenêtre de toit, éléments de ventilation...)</w:t>
      </w:r>
    </w:p>
    <w:p>
      <w:pPr/>
      <w:r>
        <w:rPr/>
        <w:t xml:space="preserve">Validé par le Groupe Spécialisé le 15/04/2019</w:t>
      </w:r>
    </w:p>
    <w:p>
      <w:pPr/>
      <w:r>
        <w:rPr>
          <w:b/>
          <w:bCs/>
        </w:rPr>
        <w:t xml:space="preserve">Description</w:t>
      </w:r>
    </w:p>
    <w:p>
      <w:pPr/>
      <w:r>
        <w:rPr/>
        <w:t xml:space="preserve">Décrire précisément l’adaptation des tuiles aux fenêtres de toit sous Avis Technique, en accord avec le fabricant de fenêtre. Les prescriptions du DTA des tuiles doivent être en accord avec l’Avis Technique des fenêtres de toit.</w:t>
      </w:r>
    </w:p>
    <w:p>
      <w:pPr/>
      <w:r>
        <w:rPr>
          <w:b/>
          <w:bCs/>
        </w:rPr>
        <w:t xml:space="preserve">Justification</w:t>
      </w:r>
    </w:p>
    <w:p>
      <w:pPr/>
      <w:r>
        <w:rPr/>
        <w:t xml:space="preserve">Fournir un courrier de validation de la part des fabricants de fenêtres de toit.</w:t>
      </w:r>
    </w:p>
    <w:p>
      <w:pPr/>
      <w:r>
        <w:rPr>
          <w:b/>
          <w:bCs/>
        </w:rPr>
        <w:t xml:space="preserve">Illustration</w:t>
      </w:r>
    </w:p>
    <w:p>
      <w:pPr/>
      <w:r>
        <w:rPr/>
        <w:t xml:space="preserve">Fournir un schéma technique coté en accord avec le fabricant de fenêtres.</w:t>
      </w:r>
    </w:p>
    <w:p>
      <w:pPr>
        <w:ind w:left="1440" w:right="0"/>
      </w:pPr>
      <w:r>
        <w:rPr>
          <w:rStyle w:val="font_h3"/>
        </w:rPr>
        <w:t xml:space="preserve">7.6.10. Pénétrations continues perpendiculaires à la ligne de plus grande pente en bas de versant</w:t>
      </w:r>
    </w:p>
    <w:p>
      <w:pPr>
        <w:ind w:left="720" w:right="0"/>
      </w:pPr>
      <w:r>
        <w:rPr>
          <w:rStyle w:val="font_h2"/>
        </w:rPr>
        <w:t xml:space="preserve">7.7. Ventilation de la sous-face de la couverture</w:t>
      </w:r>
    </w:p>
    <w:p>
      <w:pPr/>
      <w:r>
        <w:rPr/>
        <w:t xml:space="preserve">Validé par le Groupe Spécialisé le 15/04/2019</w:t>
      </w:r>
    </w:p>
    <w:p>
      <w:pPr/>
      <w:r>
        <w:rPr>
          <w:b/>
          <w:bCs/>
        </w:rPr>
        <w:t xml:space="preserve">Description</w:t>
      </w:r>
    </w:p>
    <w:p>
      <w:pPr/>
      <w:r>
        <w:rPr/>
        <w:t xml:space="preserve">Préciser les modes de ventilation. Dans le cas où l’utilisation d’un closoir est recommandé, préciser la nature de ses performances (selon référentiel de certification QB 35) et ses conditions d'association. Préciser également son classement s’il s’agit d’un closoir défini (selon référentiel de certification QB 35).</w:t>
      </w:r>
    </w:p>
    <w:p>
      <w:pPr>
        <w:ind w:left="720" w:right="0"/>
      </w:pPr>
      <w:r>
        <w:rPr>
          <w:rStyle w:val="font_h2"/>
        </w:rPr>
        <w:t xml:space="preserve">7.8. Ecran souple de sous-toiture</w:t>
      </w:r>
    </w:p>
    <w:p>
      <w:pPr/>
      <w:r>
        <w:rPr/>
        <w:t xml:space="preserve">Validé par le Groupe Spécialisé le 05/02/2018</w:t>
      </w:r>
    </w:p>
    <w:p>
      <w:pPr/>
      <w:r>
        <w:rPr>
          <w:b/>
          <w:bCs/>
        </w:rPr>
        <w:t xml:space="preserve">Description</w:t>
      </w:r>
    </w:p>
    <w:p>
      <w:pPr/>
      <w:r>
        <w:rPr/>
        <w:t xml:space="preserve">Lorsqu’un écran de sous toiture est utilisé, préciser que sa mise en œuvre doit être conforme au NF DTU 40.29.</w:t>
      </w:r>
    </w:p>
    <w:p>
      <w:pPr/>
      <w:r>
        <w:rPr>
          <w:rStyle w:val="font_h1"/>
        </w:rPr>
        <w:t xml:space="preserve">8. Mise en oeuvre en climat de moyenne montagne (caractérisée par une altitude comprise entre 900 m et 1800 m)</w:t>
      </w:r>
    </w:p>
    <w:p>
      <w:pPr>
        <w:ind w:left="720" w:right="0"/>
      </w:pPr>
      <w:r>
        <w:rPr>
          <w:rStyle w:val="font_h2"/>
        </w:rPr>
        <w:t xml:space="preserve">8.1. Généralités</w:t>
      </w:r>
    </w:p>
    <w:p>
      <w:pPr/>
      <w:r>
        <w:rPr/>
        <w:t xml:space="preserve">Validé par le Groupe Spécialisé le 05/02/2018</w:t>
      </w:r>
    </w:p>
    <w:p>
      <w:pPr/>
      <w:r>
        <w:rPr>
          <w:b/>
          <w:bCs/>
        </w:rPr>
        <w:t xml:space="preserve">Description</w:t>
      </w:r>
    </w:p>
    <w:p>
      <w:pPr/>
      <w:r>
        <w:rPr/>
        <w:t xml:space="preserve">Indiquer si les dispositions générales de mise en œuvre diffèrent de celles décrites pour le climat de plaine. Indiquer la charge de neige extrême.</w:t>
      </w:r>
    </w:p>
    <w:p>
      <w:pPr/>
      <w:r>
        <w:rPr>
          <w:b/>
          <w:bCs/>
        </w:rPr>
        <w:t xml:space="preserve">Justification</w:t>
      </w:r>
    </w:p>
    <w:p>
      <w:pPr/>
      <w:r>
        <w:rPr/>
        <w:t xml:space="preserve">Justifier la charge de neige extrême.</w:t>
      </w:r>
    </w:p>
    <w:p>
      <w:pPr>
        <w:ind w:left="720" w:right="0"/>
      </w:pPr>
      <w:r>
        <w:rPr>
          <w:rStyle w:val="font_h2"/>
        </w:rPr>
        <w:t xml:space="preserve">8.2. Complément d'étanchéité sur support continu</w:t>
      </w:r>
    </w:p>
    <w:p>
      <w:pPr/>
      <w:r>
        <w:rPr/>
        <w:t xml:space="preserve">Validé par le Groupe Spécialisé le 05/02/2018</w:t>
      </w:r>
    </w:p>
    <w:p>
      <w:pPr/>
      <w:r>
        <w:rPr>
          <w:b/>
          <w:bCs/>
        </w:rPr>
        <w:t xml:space="preserve">Description</w:t>
      </w:r>
    </w:p>
    <w:p>
      <w:pPr/>
      <w:r>
        <w:rPr/>
        <w:t xml:space="preserve">Décrire la mise en œuvre.</w:t>
      </w:r>
    </w:p>
    <w:p>
      <w:pPr/>
      <w:r>
        <w:rPr>
          <w:b/>
          <w:bCs/>
        </w:rPr>
        <w:t xml:space="preserve">Illustration</w:t>
      </w:r>
    </w:p>
    <w:p>
      <w:pPr/>
      <w:r>
        <w:rPr/>
        <w:t xml:space="preserve">Illustrer la mise en œuvre en climat de montagne.</w:t>
      </w:r>
    </w:p>
    <w:p>
      <w:pPr>
        <w:ind w:left="720" w:right="0"/>
      </w:pPr>
      <w:r>
        <w:rPr>
          <w:rStyle w:val="font_h2"/>
        </w:rPr>
        <w:t xml:space="preserve">8.3. Ventilation de la couverture et de l'étanchéité complémentaire, mise en oeuvre de l'isolation thermique</w:t>
      </w:r>
    </w:p>
    <w:p>
      <w:pPr/>
      <w:r>
        <w:rPr/>
        <w:t xml:space="preserve">Validé par le Groupe Spécialisé le 05/02/2018</w:t>
      </w:r>
    </w:p>
    <w:p>
      <w:pPr/>
      <w:r>
        <w:rPr>
          <w:b/>
          <w:bCs/>
        </w:rPr>
        <w:t xml:space="preserve">Description</w:t>
      </w:r>
    </w:p>
    <w:p>
      <w:pPr/>
      <w:r>
        <w:rPr/>
        <w:t xml:space="preserve">Décrire la mise en œuvre de l’isolation thermique, de la ventilation de la couverture et de l’étanchéité complémentaire.</w:t>
      </w:r>
    </w:p>
    <w:p>
      <w:pPr/>
      <w:r>
        <w:rPr>
          <w:rStyle w:val="font_h1"/>
        </w:rPr>
        <w:t xml:space="preserve">9. Mise en oeuvre en climat de moyenne montagne (caractérisée par une altitude comprise entre 900 m et 1800 m) en travaux de réfection</w:t>
      </w:r>
    </w:p>
    <w:p>
      <w:pPr>
        <w:ind w:left="720" w:right="0"/>
      </w:pPr>
      <w:r>
        <w:rPr>
          <w:rStyle w:val="font_h2"/>
        </w:rPr>
        <w:t xml:space="preserve">9.1. Généralités</w:t>
      </w:r>
    </w:p>
    <w:p>
      <w:pPr>
        <w:ind w:left="1440" w:right="0"/>
      </w:pPr>
      <w:r>
        <w:rPr>
          <w:rStyle w:val="font_h3"/>
        </w:rPr>
        <w:t xml:space="preserve">9.1.1. Généralités</w:t>
      </w:r>
    </w:p>
    <w:p>
      <w:pPr/>
      <w:r>
        <w:rPr/>
        <w:t xml:space="preserve">Validé par le Groupe Spécialisé le 05/02/2018</w:t>
      </w:r>
    </w:p>
    <w:p>
      <w:pPr/>
      <w:r>
        <w:rPr>
          <w:b/>
          <w:bCs/>
        </w:rPr>
        <w:t xml:space="preserve">Description</w:t>
      </w:r>
    </w:p>
    <w:p>
      <w:pPr/>
      <w:r>
        <w:rPr/>
        <w:t xml:space="preserve">Indiquer si les dispositions générales de mise en œuvre diffèrent de celles décrites pour le climat de plaine.</w:t>
      </w:r>
    </w:p>
    <w:p>
      <w:pPr>
        <w:ind w:left="1440" w:right="0"/>
      </w:pPr>
      <w:r>
        <w:rPr>
          <w:rStyle w:val="font_h3"/>
        </w:rPr>
        <w:t xml:space="preserve">9.1.2. Reconnaissance préalable de la couverture</w:t>
      </w:r>
    </w:p>
    <w:p>
      <w:pPr/>
      <w:r>
        <w:rPr/>
        <w:t xml:space="preserve">Validé par le Groupe Spécialisé le 05/02/2018</w:t>
      </w:r>
    </w:p>
    <w:p>
      <w:pPr/>
      <w:r>
        <w:rPr>
          <w:b/>
          <w:bCs/>
        </w:rPr>
        <w:t xml:space="preserve">Description</w:t>
      </w:r>
    </w:p>
    <w:p>
      <w:pPr/>
      <w:r>
        <w:rPr/>
        <w:t xml:space="preserve">Décrire la reconnaissance préalable de la couverture.</w:t>
      </w:r>
    </w:p>
    <w:p>
      <w:pPr>
        <w:ind w:left="1440" w:right="0"/>
      </w:pPr>
      <w:r>
        <w:rPr>
          <w:rStyle w:val="font_h3"/>
        </w:rPr>
        <w:t xml:space="preserve">9.1.3. Conditions de conservation de l'ancienne couverture en bardeaux bitumés, destinée à servir de support pour l'étanchéité complémentaire</w:t>
      </w:r>
    </w:p>
    <w:p>
      <w:pPr/>
      <w:r>
        <w:rPr/>
        <w:t xml:space="preserve">Validé par le Groupe Spécialisé le 05/02/2018</w:t>
      </w:r>
    </w:p>
    <w:p>
      <w:pPr/>
      <w:r>
        <w:rPr>
          <w:b/>
          <w:bCs/>
        </w:rPr>
        <w:t xml:space="preserve">Description</w:t>
      </w:r>
    </w:p>
    <w:p>
      <w:pPr/>
      <w:r>
        <w:rPr/>
        <w:t xml:space="preserve">Décrire les conditions de conservation de l'ancienne couverture.</w:t>
      </w:r>
    </w:p>
    <w:p>
      <w:pPr/>
      <w:r>
        <w:rPr>
          <w:b/>
          <w:bCs/>
        </w:rPr>
        <w:t xml:space="preserve">Illustration</w:t>
      </w:r>
    </w:p>
    <w:p>
      <w:pPr/>
      <w:r>
        <w:rPr/>
        <w:t xml:space="preserve">Illustrer la mise en œuvre en climat de montagne en rénovation sur bardeaux</w:t>
      </w:r>
    </w:p>
    <w:p>
      <w:pPr>
        <w:ind w:left="1440" w:right="0"/>
      </w:pPr>
      <w:r>
        <w:rPr>
          <w:rStyle w:val="font_h3"/>
        </w:rPr>
        <w:t xml:space="preserve">9.1.4. Travaux préparatoires</w:t>
      </w:r>
    </w:p>
    <w:p>
      <w:pPr/>
      <w:r>
        <w:rPr/>
        <w:t xml:space="preserve">Validé par le Groupe Spécialisé le 05/02/2018</w:t>
      </w:r>
    </w:p>
    <w:p>
      <w:pPr/>
      <w:r>
        <w:rPr>
          <w:b/>
          <w:bCs/>
        </w:rPr>
        <w:t xml:space="preserve">Description</w:t>
      </w:r>
    </w:p>
    <w:p>
      <w:pPr/>
      <w:r>
        <w:rPr/>
        <w:t xml:space="preserve">Décrire les travaux préparatoires.</w:t>
      </w:r>
    </w:p>
    <w:p>
      <w:pPr>
        <w:ind w:left="720" w:right="0"/>
      </w:pPr>
      <w:r>
        <w:rPr>
          <w:rStyle w:val="font_h2"/>
        </w:rPr>
        <w:t xml:space="preserve">9.2. Complément d'étanchéité sur support continu</w:t>
      </w:r>
    </w:p>
    <w:p>
      <w:pPr/>
      <w:r>
        <w:rPr/>
        <w:t xml:space="preserve">Validé par le Groupe Spécialisé le 05/02/2018</w:t>
      </w:r>
    </w:p>
    <w:p>
      <w:pPr/>
      <w:r>
        <w:rPr>
          <w:b/>
          <w:bCs/>
        </w:rPr>
        <w:t xml:space="preserve">Description</w:t>
      </w:r>
    </w:p>
    <w:p>
      <w:pPr/>
      <w:r>
        <w:rPr/>
        <w:t xml:space="preserve">Décrire le complément d’étanchéité sur support continu.</w:t>
      </w:r>
    </w:p>
    <w:p>
      <w:pPr>
        <w:ind w:left="720" w:right="0"/>
      </w:pPr>
      <w:r>
        <w:rPr>
          <w:rStyle w:val="font_h2"/>
        </w:rPr>
        <w:t xml:space="preserve">9.3. Mise en place de la couverture</w:t>
      </w:r>
    </w:p>
    <w:p>
      <w:pPr/>
      <w:r>
        <w:rPr/>
        <w:t xml:space="preserve">Validé par le Groupe Spécialisé le 05/02/2018</w:t>
      </w:r>
    </w:p>
    <w:p>
      <w:pPr/>
      <w:r>
        <w:rPr>
          <w:b/>
          <w:bCs/>
        </w:rPr>
        <w:t xml:space="preserve">Description</w:t>
      </w:r>
    </w:p>
    <w:p>
      <w:pPr/>
      <w:r>
        <w:rPr/>
        <w:t xml:space="preserve">Décrire la mise en place de la couverture.</w:t>
      </w:r>
    </w:p>
    <w:p>
      <w:pPr>
        <w:ind w:left="720" w:right="0"/>
      </w:pPr>
      <w:r>
        <w:rPr>
          <w:rStyle w:val="font_h2"/>
        </w:rPr>
        <w:t xml:space="preserve">9.4. Ventilation de la couverture et de la sous-toiture, mise en oeuvre de l'isolation thermique</w:t>
      </w:r>
    </w:p>
    <w:p>
      <w:pPr/>
      <w:r>
        <w:rPr/>
        <w:t xml:space="preserve">Validé par le Groupe Spécialisé le 05/02/2018</w:t>
      </w:r>
    </w:p>
    <w:p>
      <w:pPr/>
      <w:r>
        <w:rPr>
          <w:b/>
          <w:bCs/>
        </w:rPr>
        <w:t xml:space="preserve">Description</w:t>
      </w:r>
    </w:p>
    <w:p>
      <w:pPr/>
      <w:r>
        <w:rPr/>
        <w:t xml:space="preserve">Décrire la mise en œuvre de l’isolation thermique, de la couverture et de la sous-toiture.</w:t>
      </w:r>
    </w:p>
    <w:p>
      <w:pPr/>
      <w:r>
        <w:rPr>
          <w:rStyle w:val="font_h1"/>
        </w:rPr>
        <w:t xml:space="preserve">10. Fourniture et assistance technique</w:t>
      </w:r>
    </w:p>
    <w:p>
      <w:pPr/>
      <w:r>
        <w:rPr/>
        <w:t xml:space="preserve">Validé par le Groupe Spécialisé le 05/02/2018</w:t>
      </w:r>
    </w:p>
    <w:p>
      <w:pPr/>
      <w:r>
        <w:rPr>
          <w:b/>
          <w:bCs/>
        </w:rPr>
        <w:t xml:space="preserve">Description</w:t>
      </w:r>
    </w:p>
    <w:p>
      <w:pPr/>
      <w:r>
        <w:rPr/>
        <w:t xml:space="preserve">Définir les conditions de l’assistance technique ainsi que les personnes qui en ont la charge.</w:t>
      </w:r>
    </w:p>
    <w:p>
      <w:pPr/>
      <w:r>
        <w:rPr>
          <w:rStyle w:val="font_h1"/>
        </w:rPr>
        <w:t xml:space="preserve">11. Résultats expérimentaux</w:t>
      </w:r>
    </w:p>
    <w:p>
      <w:pPr/>
      <w:r>
        <w:rPr/>
        <w:t xml:space="preserve">Validé par le Groupe Spécialisé le 05/02/2018</w:t>
      </w:r>
    </w:p>
    <w:p>
      <w:pPr/>
      <w:r>
        <w:rPr>
          <w:b/>
          <w:bCs/>
        </w:rPr>
        <w:t xml:space="preserve">Description</w:t>
      </w:r>
    </w:p>
    <w:p>
      <w:pPr/>
      <w:r>
        <w:rPr/>
        <w:t xml:space="preserve">Indiquer l’ensemble des rapports significatifs utilisés pour l’instruction du dossier.</w:t>
      </w:r>
    </w:p>
    <w:p>
      <w:pPr/>
      <w:r>
        <w:rPr>
          <w:rStyle w:val="font_h1"/>
        </w:rPr>
        <w:t xml:space="preserve">12. Références</w:t>
      </w:r>
    </w:p>
    <w:p>
      <w:pPr>
        <w:ind w:left="720" w:right="0"/>
      </w:pPr>
      <w:r>
        <w:rPr>
          <w:rStyle w:val="font_h2"/>
        </w:rPr>
        <w:t xml:space="preserve">12.1. Données environnementales</w:t>
      </w:r>
    </w:p>
    <w:p>
      <w:pPr/>
      <w:r>
        <w:rPr/>
        <w:t xml:space="preserve">Validé par le Groupe Spécialisé le 05/02/2018</w:t>
      </w:r>
    </w:p>
    <w:p>
      <w:pPr/>
      <w:r>
        <w:rPr>
          <w:b/>
          <w:bCs/>
        </w:rPr>
        <w:t xml:space="preserve">Description</w:t>
      </w:r>
    </w:p>
    <w:p>
      <w:pPr/>
      <w:r>
        <w:rPr/>
        <w:t xml:space="preserve">Le procédé (indiquer la dénomination commerciale du procédé) ne fait pas l’objet d’une Déclaration Environnementale (DE). Il ne peut donc revendiquer aucune performance environnementale particulière.Les données issues des DE ont notamment pour objet de servir au calcul des impacts environnementaux des ouvrages dans lesquels les procédés visés sont susceptibles d’être intégrés.(Si le procédé fait l’objet d’une DE, elle doit être référencée et déposées sur le site www.declaration-environnementale.gouv.fr).</w:t>
      </w:r>
    </w:p>
    <w:p>
      <w:pPr/>
      <w:r>
        <w:rPr>
          <w:b/>
          <w:bCs/>
        </w:rPr>
        <w:t xml:space="preserve">Justification</w:t>
      </w:r>
    </w:p>
    <w:p>
      <w:pPr/>
      <w:r>
        <w:rPr/>
        <w:t xml:space="preserve">Justifications : Fournir les DE le cas échéant.</w:t>
      </w:r>
    </w:p>
    <w:p>
      <w:pPr>
        <w:ind w:left="720" w:right="0"/>
      </w:pPr>
      <w:r>
        <w:rPr>
          <w:rStyle w:val="font_h2"/>
        </w:rPr>
        <w:t xml:space="preserve">12.2. Autres références</w:t>
      </w:r>
    </w:p>
    <w:p>
      <w:pPr/>
      <w:r>
        <w:rPr/>
        <w:t xml:space="preserve">Validé par le Groupe Spécialisé le 05/02/2018</w:t>
      </w:r>
    </w:p>
    <w:p>
      <w:pPr/>
      <w:r>
        <w:rPr>
          <w:b/>
          <w:bCs/>
        </w:rPr>
        <w:t xml:space="preserve">Description</w:t>
      </w:r>
    </w:p>
    <w:p>
      <w:pPr/>
      <w:r>
        <w:rPr/>
        <w:t xml:space="preserve">Indiquer le nombre de m² mis en œuvre en France. Indiquer l’année de mise sur le marché en France.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FB90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EA8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89D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2C4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4348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2026-06-26T06:07:32+02:00</dcterms:created>
  <dcterms:modified xsi:type="dcterms:W3CDTF">2026-06-26T06:07:32+02:00</dcterms:modified>
</cp:coreProperties>
</file>

<file path=docProps/custom.xml><?xml version="1.0" encoding="utf-8"?>
<Properties xmlns="http://schemas.openxmlformats.org/officeDocument/2006/custom-properties" xmlns:vt="http://schemas.openxmlformats.org/officeDocument/2006/docPropsVTypes"/>
</file>