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profilées translucides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26/09/2022</w:t>
      </w:r>
    </w:p>
    <w:p>
      <w:pPr/>
      <w:r>
        <w:rPr>
          <w:b/>
          <w:bCs/>
        </w:rPr>
        <w:t xml:space="preserve">Description</w:t>
      </w:r>
    </w:p>
    <w:p>
      <w:pPr/>
      <w:r>
        <w:rPr/>
        <w:t xml:space="preserve">Définition du domaine d’emploi visé (type de charpente (bois, métal, béton avec insert bois ou métallique), du type de bâtiments (habitation (sur justifications), ERP, locaux code du travail, industriels, commerciaux, agricoles, installations sportives,... ), de l'hygrométrie (sur justifications)…), du type de travaux (travaux neufs et/ou de rénovation totale (jusqu'au support)), et de la zone géographique (France métropolitaine et climat de plaine, sauf justifications particulières).</w:t>
      </w:r>
    </w:p>
    <w:p>
      <w:pPr/>
      <w:r>
        <w:rPr/>
        <w:t xml:space="preserve">Concernant le procédé en lui-même, donner les longueurs de rampant maximales, les pentes minimales, le nombre de ressauts possibles le cas échéant, et préciser si les couvertures cintrées sont visées.</w:t>
      </w:r>
    </w:p>
    <w:p>
      <w:pPr/>
      <w:r>
        <w:rPr/>
        <w:t xml:space="preserve">Dans les cas où les plaques translucides ne sont pas utilisées en couvertures complètes, mais uniquement en partie éclairante de couvertures en plaques métalliques conformes au DTU 40.35, lister les bacs acier compatibles.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w:t>
      </w:r>
    </w:p>
    <w:p>
      <w:pPr>
        <w:pPr/>
        <w:numPr>
          <w:ilvl w:val="0"/>
          <w:numId w:val="10"/>
        </w:numPr>
      </w:pPr>
      <w:r>
        <w:rPr/>
        <w:t xml:space="preserve">Le cintrage éventuel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fiches techniques des bacs acier compatibles et accords des fabricants en cas d'utilisation en partie éclairante de couverture en bac acier.</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26/09/2022</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26/09/2022</w:t>
      </w:r>
    </w:p>
    <w:p>
      <w:pPr/>
      <w:r>
        <w:rPr>
          <w:b/>
          <w:bCs/>
        </w:rPr>
        <w:t xml:space="preserve">Description</w:t>
      </w:r>
    </w:p>
    <w:p>
      <w:pPr/>
      <w:r>
        <w:rPr/>
        <w:t xml:space="preserve">Décrire les marquages apposés sur les plaques.</w:t>
      </w:r>
    </w:p>
    <w:p>
      <w:pPr/>
      <w:r>
        <w:rPr>
          <w:b/>
          <w:bCs/>
        </w:rPr>
        <w:t xml:space="preserve">Justification</w:t>
      </w:r>
    </w:p>
    <w:p>
      <w:pPr/>
      <w:r>
        <w:rPr/>
        <w:t xml:space="preserve">Les produits sont marqués CE selon la norme NF EN 1013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26/09/2022</w:t>
      </w:r>
    </w:p>
    <w:p>
      <w:pPr/>
      <w:r>
        <w:rPr>
          <w:b/>
          <w:bCs/>
        </w:rPr>
        <w:t xml:space="preserve">Description</w:t>
      </w:r>
    </w:p>
    <w:p>
      <w:pPr/>
      <w:r>
        <w:rPr/>
        <w:t xml:space="preserve">Donner les principales dimensions des plaques (longueur, largeur, largeur utile, pas d'onde, hauteur d'onde, épaisseur,...).</w:t>
      </w:r>
    </w:p>
    <w:p>
      <w:pPr/>
      <w:r>
        <w:rPr/>
        <w:t xml:space="preserve">Définir les couleurs et traitements possibles et décrire le process de fabrication des plaques colorées/traitées.</w:t>
      </w:r>
    </w:p>
    <w:p>
      <w:pPr/>
      <w:r>
        <w:rPr>
          <w:b/>
          <w:bCs/>
        </w:rPr>
        <w:t xml:space="preserve">Justification</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1013,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Rapports d’essai de la transmission lumineuse (TL) (dont plaques colorées, conformément à la norme NF EN 1013).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1013.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 éventuelle.</w:t>
      </w:r>
    </w:p>
    <w:p>
      <w:pPr>
        <w:ind w:left="720" w:right="0"/>
      </w:pPr>
      <w:r>
        <w:rPr>
          <w:rStyle w:val="font_h2"/>
        </w:rPr>
        <w:t xml:space="preserve">3.3. Accessoires</w:t>
      </w:r>
    </w:p>
    <w:p>
      <w:pPr/>
      <w:r>
        <w:rPr/>
        <w:t xml:space="preserve">Validé par le Groupe Spécialisé le 26/09/2022</w:t>
      </w:r>
    </w:p>
    <w:p>
      <w:pPr/>
      <w:r>
        <w:rPr>
          <w:b/>
          <w:bCs/>
        </w:rPr>
        <w:t xml:space="preserve">Description</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(obturateur, closoir, ruban adhésif perforé…). Préciser s’ils sont fournis.</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26/09/2022</w:t>
      </w:r>
    </w:p>
    <w:p>
      <w:pPr/>
      <w:r>
        <w:rPr>
          <w:b/>
          <w:bCs/>
        </w:rPr>
        <w:t xml:space="preserve">Description</w:t>
      </w:r>
    </w:p>
    <w:p>
      <w:pPr/>
      <w:r>
        <w:rPr/>
        <w:t xml:space="preserve">Décrire succinctement la fabrication des plaques, des connecteurs et des pattes. Donner à minima la ville et le pays de fabrication.</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4"/>
        </w:numPr>
      </w:pPr>
      <w:r>
        <w:rPr>
          <w:i/>
          <w:iCs/>
        </w:rPr>
        <w:t xml:space="preserve">Variation d’indice de jaune (entre témoin et plaque vieillie 3200h) doit être limitée à 4,0 pour les plaques incolores et 5,0 pour les plaques colorées ;</w:t>
      </w:r>
    </w:p>
    <w:p>
      <w:pPr>
        <w:pPr/>
        <w:numPr>
          <w:ilvl w:val="0"/>
          <w:numId w:val="14"/>
        </w:numPr>
      </w:pPr>
      <w:r>
        <w:rPr>
          <w:i/>
          <w:iCs/>
        </w:rPr>
        <w:t xml:space="preserve">Variation du facteur de transmission lumineuse doit être limitée à 3% ;</w:t>
      </w:r>
    </w:p>
    <w:p>
      <w:pPr>
        <w:pPr/>
        <w:numPr>
          <w:ilvl w:val="0"/>
          <w:numId w:val="14"/>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Dans le cas des plaques profilées en PVC Bi-orienté, le GS 5.1 accepte un protocole de suivi différent de celui validé pour les plaques en polycarbonate, avec notamment un audit de suivi annuel, des essais de vieillissement réalisés en internes (suivant la norme EN ISO 4892-1 et 2, méthode A cycle 1, classe A0 ( &gt; 236 jours – 18 GJ/m²) selon la norme NF EN 1013) et des vérifications sur la base des valeurs mentionnées dans le DTED concernant :</w:t>
      </w:r>
    </w:p>
    <w:p>
      <w:pPr>
        <w:pPr/>
        <w:numPr>
          <w:ilvl w:val="0"/>
          <w:numId w:val="15"/>
        </w:numPr>
      </w:pPr>
      <w:r>
        <w:rPr>
          <w:i/>
          <w:iCs/>
        </w:rPr>
        <w:t xml:space="preserve">La transmission lumineuse (NF P38-511, variation du TL ≤ à 10 % après vieillissement).</w:t>
      </w:r>
    </w:p>
    <w:p>
      <w:pPr>
        <w:pPr/>
        <w:numPr>
          <w:ilvl w:val="0"/>
          <w:numId w:val="15"/>
        </w:numPr>
      </w:pPr>
      <w:r>
        <w:rPr>
          <w:i/>
          <w:iCs/>
        </w:rPr>
        <w:t xml:space="preserve">L’indice de jaune (NF EN ISO 11664-1 et 2, variation Yi ≤ 10 unitées après vieillissement).</w:t>
      </w:r>
    </w:p>
    <w:p>
      <w:pPr>
        <w:pPr/>
        <w:numPr>
          <w:ilvl w:val="0"/>
          <w:numId w:val="15"/>
        </w:numPr>
      </w:pPr>
      <w:r>
        <w:rPr>
          <w:i/>
          <w:iCs/>
        </w:rPr>
        <w:t xml:space="preserve">La résilience en traction (NF EN ISO 8256, RenT &gt; 1000 kJ/m² après vieillissement).</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rStyle w:val="font_h1"/>
        </w:rPr>
        <w:t xml:space="preserve">6. Fourniture et Stockage</w:t>
      </w:r>
    </w:p>
    <w:p>
      <w:pPr/>
      <w:r>
        <w:rPr/>
        <w:t xml:space="preserve">Validé par le Groupe Spécialisé le 26/09/2022</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26/09/2022</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26/09/2022</w:t>
      </w:r>
    </w:p>
    <w:p>
      <w:pPr/>
      <w:r>
        <w:rPr>
          <w:b/>
          <w:bCs/>
        </w:rPr>
        <w:t xml:space="preserve">Description</w:t>
      </w:r>
    </w:p>
    <w:p>
      <w:pPr/>
      <w:r>
        <w:rPr/>
        <w:t xml:space="preserve">Définition des règles de conception, de dimensionnement et de mise en œuvre générale du procédé (étapes de mise en œuvre en partie courante, densité de fixation, couturage, recouvrements transversaux et longitudinaux, découpe de plaque, …).</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fixations et couturage, notamment).</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26/09/2022</w:t>
      </w:r>
    </w:p>
    <w:p>
      <w:pPr/>
      <w:r>
        <w:rPr>
          <w:b/>
          <w:bCs/>
        </w:rPr>
        <w:t xml:space="preserve">Description</w:t>
      </w:r>
    </w:p>
    <w:p>
      <w:pPr/>
      <w:r>
        <w:rPr/>
        <w:t xml:space="preserve">Description du traitement des points singuliers pour les faîtages, les rives, les égouts, les joints de dilatation, les jonctions transversales (ressauts notamment),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26/09/2022</w:t>
      </w:r>
    </w:p>
    <w:p>
      <w:pPr/>
      <w:r>
        <w:rPr>
          <w:b/>
          <w:bCs/>
        </w:rPr>
        <w:t xml:space="preserve">Description</w:t>
      </w:r>
    </w:p>
    <w:p>
      <w:pPr/>
      <w:r>
        <w:rPr/>
        <w:t xml:space="preserve">Tableaux de résistance des plaques en fonction de leur type, du connecteur et de la patte mis en œuvre (pose sur 2, 3 appuis ou plus) aux charges climatiques normales (neige et vent selon règles NV 65 modifiées) accompagnés des rapports d’essais selon la norme NF P 34-503 ou le Cahier du CSTB 3489 (déc. 2003) en pression et dépression, en deux ou trois appuis et plus.</w:t>
      </w:r>
    </w:p>
    <w:p>
      <w:pPr/>
      <w:r>
        <w:rPr>
          <w:b/>
          <w:bCs/>
        </w:rPr>
        <w:t xml:space="preserve">Justification</w:t>
      </w:r>
    </w:p>
    <w:p>
      <w:pPr/>
      <w:r>
        <w:rPr/>
        <w:t xml:space="preserve">Rapports d’essais selon la norme NF P 34-503 ou selon le Cahier du CSTB 3489 (déc. 2003) en pression et dépression, et tableaux de portées charges selon les critères minimaux suivants :</w:t>
      </w:r>
    </w:p>
    <w:p>
      <w:pPr>
        <w:pPr/>
        <w:numPr>
          <w:ilvl w:val="0"/>
          <w:numId w:val="17"/>
        </w:numPr>
      </w:pPr>
      <w:r>
        <w:rPr/>
        <w:t xml:space="preserve">Flèche ≥ au 1/100ème de la portée,</w:t>
      </w:r>
    </w:p>
    <w:p>
      <w:pPr>
        <w:pPr/>
        <w:numPr>
          <w:ilvl w:val="0"/>
          <w:numId w:val="17"/>
        </w:numPr>
      </w:pPr>
      <w:r>
        <w:rPr/>
        <w:t xml:space="preserve">Coefficient de sécurité par rapport à la ruine ≥ 3.</w:t>
      </w:r>
    </w:p>
    <w:p>
      <w:pPr/>
      <w:r>
        <w:rPr/>
        <w:t xml:space="preserve">À charges égales, la portée des plaques cintrées doit être prise à 0,7 fois la portée des plaques planes.</w:t>
      </w:r>
    </w:p>
    <w:p>
      <w:pPr/>
      <w:r>
        <w:rPr>
          <w:rStyle w:val="font_h1"/>
        </w:rPr>
        <w:t xml:space="preserve">9. Entretien et réparation</w:t>
      </w:r>
    </w:p>
    <w:p>
      <w:pPr/>
      <w:r>
        <w:rPr/>
        <w:t xml:space="preserve">Validé par le Groupe Spécialisé le 26/09/2022</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26/09/2022</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8C7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5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0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4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33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0E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42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4A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A8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2026-05-01T04:09:51+02:00</dcterms:created>
  <dcterms:modified xsi:type="dcterms:W3CDTF">2026-05-01T04:09:51+02:00</dcterms:modified>
</cp:coreProperties>
</file>

<file path=docProps/custom.xml><?xml version="1.0" encoding="utf-8"?>
<Properties xmlns="http://schemas.openxmlformats.org/officeDocument/2006/custom-properties" xmlns:vt="http://schemas.openxmlformats.org/officeDocument/2006/docPropsVTypes"/>
</file>