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Membrane d'étanchéité complémentaire de couverture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10/03/2025</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10/03/2025</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montagne (altitude supérieure à 900 m et inférieure ou égale à 2000 m), sauf justifications particulières).</w:t>
      </w:r>
    </w:p>
    <w:p>
      <w:pPr/>
      <w:r>
        <w:rPr/>
        <w:t xml:space="preserve">Le procédé se réfère au domaine d’application des étanchéités complémentaires en climat de montagne, selon les dispositions d’emploi visées dans le " Guide des couvertures en climat de montagne de juin 2011", et dans les DTU de la série 40.* qui prévoient la mise en oeuvre en climat de montagne.</w:t>
      </w:r>
    </w:p>
    <w:p>
      <w:pPr/>
      <w:r>
        <w:rPr/>
        <w:t xml:space="preserve">Donner les espacements entre chevrons/rehausses maximaux, les charges ascendantes extrêmes de vent maximales admissible (selon les règles NV 65 modifiées), ainsi que les hauteurs de bâtiments associées selon le cahier 3563 de juin 2006 (valeurs en angles).</w:t>
      </w:r>
    </w:p>
    <w:p>
      <w:pPr/>
      <w:r>
        <w:rPr/>
        <w:t xml:space="preserve">Dans le cas d'une pose différente du principe de "double toiture ventilée" selon le "Guide des couverture en climat de montagne de juin 2011" (pose directe sur Sarking sous DTA par exemple), des justificatifs particuliers sont attendus (voir ci-après).</w:t>
      </w:r>
    </w:p>
    <w:p>
      <w:pPr/>
      <w:r>
        <w:rPr>
          <w:b/>
          <w:bCs/>
        </w:rPr>
        <w:t xml:space="preserve">Justification</w:t>
      </w:r>
    </w:p>
    <w:p>
      <w:pPr/>
      <w:r>
        <w:rPr/>
        <w:t xml:space="preserve">Liste des références de chantier détaillée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de vent selon les règles NV 65 modifiées,</w:t>
      </w:r>
    </w:p>
    <w:p>
      <w:pPr>
        <w:pPr/>
        <w:numPr>
          <w:ilvl w:val="0"/>
          <w:numId w:val="9"/>
        </w:numPr>
      </w:pPr>
      <w:r>
        <w:rPr/>
        <w:t xml:space="preserve">La zone de neige selon les règles NV 65 modifiées,</w:t>
      </w:r>
    </w:p>
    <w:p>
      <w:pPr>
        <w:pPr/>
        <w:numPr>
          <w:ilvl w:val="0"/>
          <w:numId w:val="9"/>
        </w:numPr>
      </w:pPr>
      <w:r>
        <w:rPr/>
        <w:t xml:space="preserve">La zone de concomitance vent/ pluie selon DTU 40.41,</w:t>
      </w:r>
    </w:p>
    <w:p>
      <w:pPr>
        <w:pPr/>
        <w:numPr>
          <w:ilvl w:val="0"/>
          <w:numId w:val="9"/>
        </w:numPr>
      </w:pPr>
      <w:r>
        <w:rPr/>
        <w:t xml:space="preserve">La situation selon DTU 40.41,</w:t>
      </w:r>
    </w:p>
    <w:p>
      <w:pPr>
        <w:pPr/>
        <w:numPr>
          <w:ilvl w:val="0"/>
          <w:numId w:val="9"/>
        </w:numPr>
      </w:pPr>
      <w:r>
        <w:rPr/>
        <w:t xml:space="preserve">La hauteur maximale du bâtiment,</w:t>
      </w:r>
    </w:p>
    <w:p>
      <w:pPr>
        <w:pPr/>
        <w:numPr>
          <w:ilvl w:val="0"/>
          <w:numId w:val="9"/>
        </w:numPr>
      </w:pPr>
      <w:r>
        <w:rPr/>
        <w:t xml:space="preserve">La longueur de rampant et la présence ou non de ressauts (préciser le nombre),</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L'entraxe entre chevrons.</w:t>
      </w:r>
    </w:p>
    <w:p>
      <w:pPr>
        <w:pPr/>
        <w:numPr>
          <w:ilvl w:val="0"/>
          <w:numId w:val="10"/>
        </w:numPr>
      </w:pPr>
      <w:r>
        <w:rPr/>
        <w:t xml:space="preserve">Type et nature de l'isolation,</w:t>
      </w:r>
    </w:p>
    <w:p>
      <w:pPr>
        <w:pPr/>
        <w:numPr>
          <w:ilvl w:val="0"/>
          <w:numId w:val="10"/>
        </w:numPr>
      </w:pPr>
      <w:r>
        <w:rPr/>
        <w:t xml:space="preserve">Le type et la référence de la membrane,</w:t>
      </w:r>
    </w:p>
    <w:p>
      <w:pPr>
        <w:pPr/>
        <w:numPr>
          <w:ilvl w:val="0"/>
          <w:numId w:val="10"/>
        </w:numPr>
      </w:pPr>
      <w:r>
        <w:rPr/>
        <w:t xml:space="preserve">Le type de joints longitudinaux et transversaux,</w:t>
      </w:r>
    </w:p>
    <w:p>
      <w:pPr>
        <w:pPr/>
        <w:numPr>
          <w:ilvl w:val="0"/>
          <w:numId w:val="10"/>
        </w:numPr>
      </w:pPr>
      <w:r>
        <w:rPr/>
        <w:t xml:space="preserve">Le type de support de la membrane,</w:t>
      </w:r>
    </w:p>
    <w:p>
      <w:pPr>
        <w:pPr/>
        <w:numPr>
          <w:ilvl w:val="0"/>
          <w:numId w:val="10"/>
        </w:numPr>
      </w:pPr>
      <w:r>
        <w:rPr/>
        <w:t xml:space="preserve">Pose sur chanlatte trapézoïdale ou sous rehausse avec/sans joint d'étanchéité,</w:t>
      </w:r>
    </w:p>
    <w:p>
      <w:pPr>
        <w:pPr/>
        <w:numPr>
          <w:ilvl w:val="0"/>
          <w:numId w:val="10"/>
        </w:numPr>
      </w:pPr>
      <w:r>
        <w:rPr/>
        <w:t xml:space="preserve">Type de couverture,</w:t>
      </w:r>
    </w:p>
    <w:p>
      <w:pPr>
        <w:pPr/>
        <w:numPr>
          <w:ilvl w:val="0"/>
          <w:numId w:val="10"/>
        </w:numPr>
      </w:pPr>
      <w:r>
        <w:rPr/>
        <w:t xml:space="preserve">Particularités (exemple : noues, pénétrations, velux, ...).</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Dans le cas d'une pose direct sur procédé de Sarking sous DTA, les justificatifs particuliers minimaux suivants sont attendus :</w:t>
      </w:r>
    </w:p>
    <w:p>
      <w:pPr>
        <w:pPr/>
        <w:numPr>
          <w:ilvl w:val="0"/>
          <w:numId w:val="12"/>
        </w:numPr>
      </w:pPr>
      <w:r>
        <w:rPr/>
        <w:t xml:space="preserve">Liste de références chantiers nombreuses, anciennes et détaillées visant cette pose.</w:t>
      </w:r>
    </w:p>
    <w:p>
      <w:pPr>
        <w:pPr/>
        <w:numPr>
          <w:ilvl w:val="0"/>
          <w:numId w:val="12"/>
        </w:numPr>
      </w:pPr>
      <w:r>
        <w:rPr/>
        <w:t xml:space="preserve">Accord du fabricant du procédé de Sarking sous DTA, et justification de l'impact du procédé sur le dimensionnement du Sarking (F1mm notamment).</w:t>
      </w:r>
    </w:p>
    <w:p>
      <w:pPr>
        <w:pPr/>
        <w:numPr>
          <w:ilvl w:val="0"/>
          <w:numId w:val="12"/>
        </w:numPr>
      </w:pPr>
      <w:r>
        <w:rPr/>
        <w:t xml:space="preserve">Justificatifs de durabilité.</w:t>
      </w:r>
    </w:p>
    <w:p>
      <w:pPr>
        <w:pPr/>
        <w:numPr>
          <w:ilvl w:val="0"/>
          <w:numId w:val="12"/>
        </w:numPr>
      </w:pPr>
      <w:r>
        <w:rPr/>
        <w:t xml:space="preserve">Etudes hygrothermiques de la paroi (WUFI), et mission d'analyse des hypothèses par le CSTB (supplément pour évaluation des risques hygrothermiques, voir barème ATEC/DTA).</w:t>
      </w:r>
    </w:p>
    <w:p>
      <w:pPr>
        <w:pPr/>
        <w:numPr>
          <w:ilvl w:val="0"/>
          <w:numId w:val="12"/>
        </w:numPr>
      </w:pPr>
      <w:r>
        <w:rPr/>
        <w:t xml:space="preserve">...</w:t>
      </w:r>
    </w:p>
    <w:p>
      <w:pPr/>
      <w:r>
        <w:rPr>
          <w:rStyle w:val="font_h1"/>
        </w:rPr>
        <w:t xml:space="preserve">2. Caractéristiques des éléments et matériaux</w:t>
      </w:r>
    </w:p>
    <w:p>
      <w:pPr>
        <w:ind w:left="720" w:right="0"/>
      </w:pPr>
      <w:r>
        <w:rPr>
          <w:rStyle w:val="font_h2"/>
        </w:rPr>
        <w:t xml:space="preserve">2.1. Membrane</w:t>
      </w:r>
    </w:p>
    <w:p>
      <w:pPr/>
      <w:r>
        <w:rPr/>
        <w:t xml:space="preserve">Validé par le Groupe Spécialisé le 10/03/2025</w:t>
      </w:r>
    </w:p>
    <w:p>
      <w:pPr/>
      <w:r>
        <w:rPr>
          <w:b/>
          <w:bCs/>
        </w:rPr>
        <w:t xml:space="preserve">Description</w:t>
      </w:r>
    </w:p>
    <w:p>
      <w:pPr/>
      <w:r>
        <w:rPr/>
        <w:t xml:space="preserve">Donner le nom de la membrane, et son éventuelle conformité à une norme européenne harmonisée.</w:t>
      </w:r>
    </w:p>
    <w:p>
      <w:pPr/>
      <w:r>
        <w:rPr/>
        <w:t xml:space="preserve">Donner les principales dimensions de la membrane (longueur, largeur, poids des rouleaux, épaisseur,...).</w:t>
      </w:r>
    </w:p>
    <w:p>
      <w:pPr/>
      <w:r>
        <w:rPr/>
        <w:t xml:space="preserve">Donner les caractéristiques physiques et mécaniques de la membrane, et de ses différents modes de jonctions éventuels (jonctions longitudinale / transversale / about de lés). Les membranes d'étanchéité complémentaires en climat de montagne ne justifiant pas d'une conformité au "Guide des couverture en climat de montagne de juin 2011", doivent à minima justifier d'une conformité aux Guides UEAtc des membranes d'étanchéité de toitures terrasses, à savoir notamment (selon le type de membrane) :</w:t>
      </w:r>
    </w:p>
    <w:p>
      <w:pPr>
        <w:pPr/>
        <w:numPr>
          <w:ilvl w:val="0"/>
          <w:numId w:val="13"/>
        </w:numPr>
      </w:pPr>
      <w:r>
        <w:rPr/>
        <w:t xml:space="preserve">Cahier CTSB n°3539 : Guide UEAtc revêtement PVC,</w:t>
      </w:r>
    </w:p>
    <w:p>
      <w:pPr>
        <w:pPr/>
        <w:numPr>
          <w:ilvl w:val="0"/>
          <w:numId w:val="13"/>
        </w:numPr>
      </w:pPr>
      <w:r>
        <w:rPr/>
        <w:t xml:space="preserve">Cahier CTSB n°3540 : Guide UEAtc revêtement EPDM,</w:t>
      </w:r>
    </w:p>
    <w:p>
      <w:pPr>
        <w:pPr/>
        <w:numPr>
          <w:ilvl w:val="0"/>
          <w:numId w:val="13"/>
        </w:numPr>
      </w:pPr>
      <w:r>
        <w:rPr/>
        <w:t xml:space="preserve">Cahier CTSB n°3541 : Guide UEATc revêtement FPO,</w:t>
      </w:r>
    </w:p>
    <w:p>
      <w:pPr>
        <w:pPr/>
        <w:numPr>
          <w:ilvl w:val="0"/>
          <w:numId w:val="13"/>
        </w:numPr>
      </w:pPr>
      <w:r>
        <w:rPr/>
        <w:t xml:space="preserve">Cahier CTSB n°3542 : Guide UEAtc revêtement bitume APP ou SBS.</w:t>
      </w:r>
    </w:p>
    <w:p>
      <w:pPr/>
      <w:r>
        <w:rPr/>
        <w:t xml:space="preserve">Donner le temps d'exposition de la membrane à la pluie et aux UV en phase provisoire, avant mise en oeuvre de la couverture.</w:t>
      </w:r>
    </w:p>
    <w:p>
      <w:pPr/>
      <w:r>
        <w:rPr>
          <w:b/>
          <w:bCs/>
        </w:rPr>
        <w:t xml:space="preserve">Justification</w:t>
      </w:r>
    </w:p>
    <w:p>
      <w:pPr/>
      <w:r>
        <w:rPr/>
        <w:t xml:space="preserve">Rapports d’essais de conformité aux Guides UEAtc des membranes d'étanchéité de toitures terrasses, à savoir (selon le type de membrane) :</w:t>
      </w:r>
    </w:p>
    <w:p>
      <w:pPr>
        <w:pPr/>
        <w:numPr>
          <w:ilvl w:val="0"/>
          <w:numId w:val="14"/>
        </w:numPr>
      </w:pPr>
      <w:r>
        <w:rPr/>
        <w:t xml:space="preserve">Cahier CTSB n°3539 : Guide UEAtc revêtement PVC,</w:t>
      </w:r>
    </w:p>
    <w:p>
      <w:pPr>
        <w:pPr/>
        <w:numPr>
          <w:ilvl w:val="0"/>
          <w:numId w:val="14"/>
        </w:numPr>
      </w:pPr>
      <w:r>
        <w:rPr/>
        <w:t xml:space="preserve">Cahier CTSB n°3540 : Guide UEAtc revêtement EPDM,</w:t>
      </w:r>
    </w:p>
    <w:p>
      <w:pPr>
        <w:pPr/>
        <w:numPr>
          <w:ilvl w:val="0"/>
          <w:numId w:val="14"/>
        </w:numPr>
      </w:pPr>
      <w:r>
        <w:rPr/>
        <w:t xml:space="preserve">Cahier CTSB n°3541 : Guide UEATc revêtement FPO,</w:t>
      </w:r>
    </w:p>
    <w:p>
      <w:pPr>
        <w:pPr/>
        <w:numPr>
          <w:ilvl w:val="0"/>
          <w:numId w:val="14"/>
        </w:numPr>
      </w:pPr>
      <w:r>
        <w:rPr/>
        <w:t xml:space="preserve">Cahier CTSB n°3542 : Guide UEAtc revêtement bitume APP ou SBS.</w:t>
      </w:r>
    </w:p>
    <w:p>
      <w:pPr/>
      <w:r>
        <w:rPr/>
        <w:t xml:space="preserve">Rapport d'essai de résistance à l'indentation (poinçonnement) selon le Cahier CSTB n° 2358_V2.</w:t>
      </w:r>
    </w:p>
    <w:p>
      <w:pPr/>
      <w:r>
        <w:rPr/>
        <w:t xml:space="preserve">Rapport d'essais de perméabilité à la vapeur d'eau de la membrane (valeur Sd, NF EN ISO 12572).</w:t>
      </w:r>
    </w:p>
    <w:p>
      <w:pPr/>
      <w:r>
        <w:rPr/>
        <w:t xml:space="preserve">Justification concernant la durabilité de la membrane en condition réelle d'exposition (récolte d'échantillons sur chantier anciens, comparatif état neuf/ état vieilli sur site naturellement, visite chantiers anciens, ...). </w:t>
      </w:r>
    </w:p>
    <w:p>
      <w:pPr/>
      <w:r>
        <w:rPr/>
        <w:t xml:space="preserve">Justifications concernant le temps d'exposition de la membrane à la pluie et aux UV en phase provisoire, avant mise en oeuvre de la couverture.</w:t>
      </w:r>
    </w:p>
    <w:p>
      <w:pPr/>
      <w:r>
        <w:rPr/>
        <w:t xml:space="preserve">DOP et exemple d'étiquette CE de la membrane.</w:t>
      </w:r>
    </w:p>
    <w:p>
      <w:pPr/>
      <w:r>
        <w:rPr/>
        <w:t xml:space="preserve">PV de réaction au feu (selon NF EN 13501).</w:t>
      </w:r>
    </w:p>
    <w:p>
      <w:pPr/>
      <w:r>
        <w:rPr/>
        <w:t xml:space="preserve">Étiquette des émissions de COV + références de l’arrêté.</w:t>
      </w:r>
    </w:p>
    <w:p>
      <w:pPr/>
      <w:r>
        <w:rPr/>
        <w:t xml:space="preserve">DE ou FDES, FDS éventuelles des produits.</w:t>
      </w:r>
    </w:p>
    <w:p>
      <w:pPr>
        <w:ind w:left="720" w:right="0"/>
      </w:pPr>
      <w:r>
        <w:rPr>
          <w:rStyle w:val="font_h2"/>
        </w:rPr>
        <w:t xml:space="preserve">2.2. Accessoires</w:t>
      </w:r>
    </w:p>
    <w:p>
      <w:pPr/>
      <w:r>
        <w:rPr/>
        <w:t xml:space="preserve">Validé par le Groupe Spécialisé le 10/03/2025</w:t>
      </w:r>
    </w:p>
    <w:p>
      <w:pPr/>
      <w:r>
        <w:rPr>
          <w:b/>
          <w:bCs/>
        </w:rPr>
        <w:t xml:space="preserve">Description</w:t>
      </w:r>
    </w:p>
    <w:p>
      <w:pPr/>
      <w:r>
        <w:rPr/>
        <w:t xml:space="preserve">Décrire les accessoires de mise en œuvre (éléments de liaison et d'étanchéité, mastics, accessoires préformés, ...), et donner leurs caractéristiques techniques. Préciser s’ils sont fournis.</w:t>
      </w:r>
    </w:p>
    <w:p>
      <w:pPr/>
      <w:r>
        <w:rPr>
          <w:b/>
          <w:bCs/>
        </w:rPr>
        <w:t xml:space="preserve">Justification</w:t>
      </w:r>
    </w:p>
    <w:p>
      <w:pPr/>
      <w:r>
        <w:rPr/>
        <w:t xml:space="preserve">Fiches techniques des accessoires divers.</w:t>
      </w:r>
    </w:p>
    <w:p>
      <w:pPr/>
      <w:r>
        <w:rPr/>
        <w:t xml:space="preserve">Rapport d'essais justifiant les caractéristiques affichées des accessoires.</w:t>
      </w:r>
    </w:p>
    <w:p>
      <w:pPr/>
      <w:r>
        <w:rPr>
          <w:b/>
          <w:bCs/>
        </w:rPr>
        <w:t xml:space="preserve">Illustration</w:t>
      </w:r>
    </w:p>
    <w:p>
      <w:pPr/>
      <w:r>
        <w:rPr/>
        <w:t xml:space="preserve">Schémas cotés et/ou photographies des accessoires.</w:t>
      </w:r>
    </w:p>
    <w:p>
      <w:pPr>
        <w:ind w:left="720" w:right="0"/>
      </w:pPr>
      <w:r>
        <w:rPr>
          <w:rStyle w:val="font_h2"/>
        </w:rPr>
        <w:t xml:space="preserve">2.3. Eléments complémentaires</w:t>
      </w:r>
    </w:p>
    <w:p>
      <w:pPr/>
      <w:r>
        <w:rPr/>
        <w:t xml:space="preserve">Validé par le Groupe Spécialisé le 10/03/2025</w:t>
      </w:r>
    </w:p>
    <w:p>
      <w:pPr/>
      <w:r>
        <w:rPr>
          <w:b/>
          <w:bCs/>
        </w:rPr>
        <w:t xml:space="preserve">Description</w:t>
      </w:r>
    </w:p>
    <w:p>
      <w:pPr/>
      <w:r>
        <w:rPr/>
        <w:t xml:space="preserve">Décrire et donner les caractéristiques techniques des les éléments complémentaires en lien avec le procédé, comme :</w:t>
      </w:r>
    </w:p>
    <w:p>
      <w:pPr>
        <w:pPr/>
        <w:numPr>
          <w:ilvl w:val="0"/>
          <w:numId w:val="15"/>
        </w:numPr>
      </w:pPr>
      <w:r>
        <w:rPr/>
        <w:t xml:space="preserve">Les panneaux en bois ou à base de bois supports de l'étanchéité complémentaire.</w:t>
      </w:r>
    </w:p>
    <w:p>
      <w:pPr>
        <w:pPr/>
        <w:numPr>
          <w:ilvl w:val="0"/>
          <w:numId w:val="15"/>
        </w:numPr>
      </w:pPr>
      <w:r>
        <w:rPr/>
        <w:t xml:space="preserve">La pare-vapeur éventuel.</w:t>
      </w:r>
    </w:p>
    <w:p>
      <w:pPr>
        <w:pPr/>
        <w:numPr>
          <w:ilvl w:val="0"/>
          <w:numId w:val="15"/>
        </w:numPr>
      </w:pPr>
      <w:r>
        <w:rPr/>
        <w:t xml:space="preserve">Les isolants (entre chevrons, ou sarking éventuellement).</w:t>
      </w:r>
    </w:p>
    <w:p>
      <w:pPr>
        <w:pPr/>
        <w:numPr>
          <w:ilvl w:val="0"/>
          <w:numId w:val="15"/>
        </w:numPr>
      </w:pPr>
      <w:r>
        <w:rPr/>
        <w:t xml:space="preserve">Les éléments bois (chanlattes trapézoïdales, réhausses, contrelattes).</w:t>
      </w:r>
    </w:p>
    <w:p>
      <w:pPr>
        <w:pPr/>
        <w:numPr>
          <w:ilvl w:val="0"/>
          <w:numId w:val="15"/>
        </w:numPr>
      </w:pPr>
      <w:r>
        <w:rPr/>
        <w:t xml:space="preserve">Les fixations.</w:t>
      </w:r>
    </w:p>
    <w:p>
      <w:pPr>
        <w:pPr/>
        <w:numPr>
          <w:ilvl w:val="0"/>
          <w:numId w:val="15"/>
        </w:numPr>
      </w:pPr>
      <w:r>
        <w:rPr/>
        <w:t xml:space="preserve">Les couvertures.</w:t>
      </w:r>
    </w:p>
    <w:p>
      <w:pPr/>
      <w:r>
        <w:rPr>
          <w:b/>
          <w:bCs/>
        </w:rPr>
        <w:t xml:space="preserve">Justification</w:t>
      </w:r>
    </w:p>
    <w:p>
      <w:pPr/>
      <w:r>
        <w:rPr/>
        <w:t xml:space="preserve">Justifications particulières à fournir si ces éléments sortent du cadre des Règles de l'Art et des documents de références propres à chacun d'eux.</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10/03/2025</w:t>
      </w:r>
    </w:p>
    <w:p>
      <w:pPr/>
      <w:r>
        <w:rPr>
          <w:b/>
          <w:bCs/>
        </w:rPr>
        <w:t xml:space="preserve">Description</w:t>
      </w:r>
    </w:p>
    <w:p>
      <w:pPr/>
      <w:r>
        <w:rPr/>
        <w:t xml:space="preserve">Définir les structures porteuses admissibles (charpente). Donner les conditions de flèches minimales admissibles.</w:t>
      </w:r>
    </w:p>
    <w:p>
      <w:pPr>
        <w:ind w:left="720" w:right="0"/>
      </w:pPr>
      <w:r>
        <w:rPr>
          <w:rStyle w:val="font_h2"/>
        </w:rPr>
        <w:t xml:space="preserve">3.2. Pentes minimales</w:t>
      </w:r>
    </w:p>
    <w:p>
      <w:pPr/>
      <w:r>
        <w:rPr/>
        <w:t xml:space="preserve">Validé par le Groupe Spécialisé le 10/03/2025</w:t>
      </w:r>
    </w:p>
    <w:p>
      <w:pPr/>
      <w:r>
        <w:rPr>
          <w:b/>
          <w:bCs/>
        </w:rPr>
        <w:t xml:space="preserve">Description</w:t>
      </w:r>
    </w:p>
    <w:p>
      <w:pPr/>
      <w:r>
        <w:rPr/>
        <w:t xml:space="preserve">Décrire les pentes minimales admises par le procédé, en fonction du type de couverture (petits éléments discontinus ou métallique en plaques/feuilles), du système de percement du plan d'étanchéité (fixations sur chanlatte trapézoïdale ou à plat sous réhausse), du type de membrane (monocouche/simple ou bicouche/renforcée).</w:t>
      </w:r>
    </w:p>
    <w:p>
      <w:pPr/>
      <w:r>
        <w:rPr>
          <w:b/>
          <w:bCs/>
        </w:rPr>
        <w:t xml:space="preserve">Justification</w:t>
      </w:r>
    </w:p>
    <w:p>
      <w:pPr/>
      <w:r>
        <w:rPr/>
        <w:t xml:space="preserve">Des justifications sont à fournir en cas de dérogation aux pentes minimales admises par le "Guide des couvertures en climat de montagne de juin 2011" (références chantiers nombreuses, anciennes et détaillées, notamment ...).</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10/03/2025</w:t>
      </w:r>
    </w:p>
    <w:p>
      <w:pPr/>
      <w:r>
        <w:rPr>
          <w:b/>
          <w:bCs/>
        </w:rPr>
        <w:t xml:space="preserve">Description</w:t>
      </w:r>
    </w:p>
    <w:p>
      <w:pPr/>
      <w:r>
        <w:rPr>
          <w:b/>
          <w:bCs/>
          <w:i/>
          <w:iCs/>
        </w:rPr>
        <w:t xml:space="preserve">JURISPRUDENCE GENERALE</w:t>
      </w:r>
      <w:r>
        <w:rPr>
          <w:i/>
          <w:iCs/>
        </w:rPr>
        <w:t xml:space="preserv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3.3.3. Charges ascendantes</w:t>
      </w:r>
    </w:p>
    <w:p>
      <w:pPr/>
      <w:r>
        <w:rPr/>
        <w:t xml:space="preserve">Validé par le Groupe Spécialisé le 10/03/2025</w:t>
      </w:r>
    </w:p>
    <w:p>
      <w:pPr/>
      <w:r>
        <w:rPr>
          <w:b/>
          <w:bCs/>
        </w:rPr>
        <w:t xml:space="preserve">Description</w:t>
      </w:r>
    </w:p>
    <w:p>
      <w:pPr/>
      <w:r>
        <w:rPr/>
        <w:t xml:space="preserve">Donner les espacements entre chevrons/rehausses maximaux, les charges ascendantes extrêmes de vent maximales admissibles (selon les règles NV 65 modifiées), ainsi que les hauteurs de bâtiments associées selon le Cahier CSTB n°3563 de juin 2006 (valeurs en angles).</w:t>
      </w:r>
    </w:p>
    <w:p>
      <w:pPr/>
      <w:r>
        <w:rPr>
          <w:b/>
          <w:bCs/>
        </w:rPr>
        <w:t xml:space="preserve">Justification</w:t>
      </w:r>
    </w:p>
    <w:p>
      <w:pPr/>
      <w:r>
        <w:rPr/>
        <w:t xml:space="preserve">Justifier de la résistance au vent du procédé (références chantiers, essais au vent selon l'ETAG 006, ...).</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10/03/2025</w:t>
      </w:r>
    </w:p>
    <w:p>
      <w:pPr/>
      <w:r>
        <w:rPr>
          <w:b/>
          <w:bCs/>
        </w:rPr>
        <w:t xml:space="preserve">Description</w:t>
      </w:r>
    </w:p>
    <w:p>
      <w:pPr/>
      <w:r>
        <w:rPr/>
        <w:t xml:space="preserve">Définition des règles de mise en œuvre générales du procédé (étapes de mise en œuvre en partie courante, fixation, recouvrements transversaux et longitudinaux, …).</w:t>
      </w:r>
    </w:p>
    <w:p>
      <w:pPr/>
      <w:r>
        <w:rPr>
          <w:b/>
          <w:bCs/>
        </w:rPr>
        <w:t xml:space="preserve">Justification</w:t>
      </w:r>
    </w:p>
    <w:p>
      <w:pPr/>
      <w:r>
        <w:rPr/>
        <w:t xml:space="preserve">Une visite chantier est à réaliser, sur un chantier en cours de mise en oeuvre.</w:t>
      </w:r>
    </w:p>
    <w:p>
      <w:pPr/>
      <w:r>
        <w:rPr>
          <w:b/>
          <w:bCs/>
        </w:rPr>
        <w:t xml:space="preserve">Illustration</w:t>
      </w:r>
    </w:p>
    <w:p>
      <w:pPr/>
      <w:r>
        <w:rPr/>
        <w:t xml:space="preserve">Schémas cotés de mise en œuvre en partie courante.</w:t>
      </w:r>
    </w:p>
    <w:p>
      <w:pPr>
        <w:ind w:left="720" w:right="0"/>
      </w:pPr>
      <w:r>
        <w:rPr>
          <w:rStyle w:val="font_h2"/>
        </w:rPr>
        <w:t xml:space="preserve">4.3. Points singuliers</w:t>
      </w:r>
    </w:p>
    <w:p>
      <w:pPr/>
      <w:r>
        <w:rPr/>
        <w:t xml:space="preserve">Validé par le Groupe Spécialisé le 10/03/2025</w:t>
      </w:r>
    </w:p>
    <w:p>
      <w:pPr/>
      <w:r>
        <w:rPr>
          <w:b/>
          <w:bCs/>
        </w:rPr>
        <w:t xml:space="preserve">Description</w:t>
      </w:r>
    </w:p>
    <w:p>
      <w:pPr/>
      <w:r>
        <w:rPr/>
        <w:t xml:space="preserve">Description du traitement des points singuliers pour les faîtages, les rives, les égouts, pénétrations, etc...</w:t>
      </w:r>
    </w:p>
    <w:p>
      <w:pPr/>
      <w:r>
        <w:rPr>
          <w:b/>
          <w:bCs/>
        </w:rPr>
        <w:t xml:space="preserve">Justification</w:t>
      </w:r>
    </w:p>
    <w:p>
      <w:pPr/>
      <w:r>
        <w:rPr/>
        <w:t xml:space="preserve">Une visite chantier est à réaliser, sur chantier en cours de mise en oeuvre.</w:t>
      </w:r>
    </w:p>
    <w:p>
      <w:pPr/>
      <w:r>
        <w:rPr>
          <w:b/>
          <w:bCs/>
        </w:rPr>
        <w:t xml:space="preserve">Illustration</w:t>
      </w:r>
    </w:p>
    <w:p>
      <w:pPr/>
      <w:r>
        <w:rPr/>
        <w:t xml:space="preserve">Schémas cotés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Ventilation</w:t>
      </w:r>
    </w:p>
    <w:p>
      <w:pPr/>
      <w:r>
        <w:rPr/>
        <w:t xml:space="preserve">Validé par le Groupe Spécialisé le 10/03/2025</w:t>
      </w:r>
    </w:p>
    <w:p>
      <w:pPr/>
      <w:r>
        <w:rPr>
          <w:b/>
          <w:bCs/>
        </w:rPr>
        <w:t xml:space="preserve">Description</w:t>
      </w:r>
    </w:p>
    <w:p>
      <w:pPr/>
      <w:r>
        <w:rPr/>
        <w:t xml:space="preserve">Les ventilations de la sous-face de la couverture, et de la sous-face de l'étanchéité complémentaire, sont réalisées conformément au "Guide des couvertures en climat de montagne de juin 2011" (principe de la double toiture ventilée).</w:t>
      </w:r>
    </w:p>
    <w:p>
      <w:pPr/>
      <w:r>
        <w:rPr>
          <w:b/>
          <w:bCs/>
        </w:rPr>
        <w:t xml:space="preserve">Justification</w:t>
      </w:r>
    </w:p>
    <w:p>
      <w:pPr/>
      <w:r>
        <w:rPr/>
        <w:t xml:space="preserve">Des justifications particulières sont attendus dans le cas où les ventilations ne sont pas réalisées conformément au "Guide des couvertures en climat de montagne de juin 2011" (voir ci-avant).</w:t>
      </w:r>
    </w:p>
    <w:p>
      <w:pPr/>
      <w:r>
        <w:rPr>
          <w:b/>
          <w:bCs/>
        </w:rPr>
        <w:t xml:space="preserve">Illustration</w:t>
      </w:r>
    </w:p>
    <w:p>
      <w:pPr/>
      <w:r>
        <w:rPr/>
        <w:t xml:space="preserve">Les figures détaillant le faîtage et l'égout doivent mentionner les sections de ventilation haute et basse.</w:t>
      </w:r>
    </w:p>
    <w:p>
      <w:pPr/>
      <w:r>
        <w:rPr>
          <w:rStyle w:val="font_h1"/>
        </w:rPr>
        <w:t xml:space="preserve">5. Entretien et réparation</w:t>
      </w:r>
    </w:p>
    <w:p>
      <w:pPr/>
      <w:r>
        <w:rPr/>
        <w:t xml:space="preserve">Validé par le Groupe Spécialisé le 10/03/2025</w:t>
      </w:r>
    </w:p>
    <w:p>
      <w:pPr/>
      <w:r>
        <w:rPr>
          <w:b/>
          <w:bCs/>
        </w:rPr>
        <w:t xml:space="preserve">Description</w:t>
      </w:r>
    </w:p>
    <w:p>
      <w:pPr/>
      <w:r>
        <w:rPr/>
        <w:t xml:space="preserve">Description de l’entretien et des réparations du procédé.</w:t>
      </w:r>
    </w:p>
    <w:p>
      <w:pPr/>
      <w:r>
        <w:rPr/>
        <w:t xml:space="preserve">L'entretien est réalisé conformément au "Guide des couvertures en climat de montagne de juin 2011".</w:t>
      </w:r>
    </w:p>
    <w:p>
      <w:pPr/>
      <w:r>
        <w:rPr>
          <w:rStyle w:val="font_h1"/>
        </w:rPr>
        <w:t xml:space="preserve">6. Assistance technique</w:t>
      </w:r>
    </w:p>
    <w:p>
      <w:pPr/>
      <w:r>
        <w:rPr/>
        <w:t xml:space="preserve">Validé par le Groupe Spécialisé le 10/03/2025</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10/03/2025</w:t>
      </w:r>
    </w:p>
    <w:p>
      <w:pPr/>
      <w:r>
        <w:rPr>
          <w:b/>
          <w:bCs/>
        </w:rPr>
        <w:t xml:space="preserve">Description</w:t>
      </w:r>
    </w:p>
    <w:p>
      <w:pPr/>
      <w:r>
        <w:rPr/>
        <w:t xml:space="preserve">Décrire succinctement la fabrication des membranes. Donner à minima la ville et le pays de fabrication.</w:t>
      </w:r>
    </w:p>
    <w:p>
      <w:pPr/>
      <w:r>
        <w:rPr/>
        <w:t xml:space="preserve">Les autocontrôles et contrôles sont réalisés conformément aux référentiels des membranes d'étanchéité de toitures terrasses, à savoir les Guides UEAtc suivants (selon la nature de la membrane) :</w:t>
      </w:r>
    </w:p>
    <w:p>
      <w:pPr>
        <w:pPr/>
        <w:numPr>
          <w:ilvl w:val="0"/>
          <w:numId w:val="17"/>
        </w:numPr>
      </w:pPr>
      <w:r>
        <w:rPr/>
        <w:t xml:space="preserve">Cahier CTSB n°3539 : Guide UEAtc revêtement PVC,</w:t>
      </w:r>
    </w:p>
    <w:p>
      <w:pPr>
        <w:pPr/>
        <w:numPr>
          <w:ilvl w:val="0"/>
          <w:numId w:val="17"/>
        </w:numPr>
      </w:pPr>
      <w:r>
        <w:rPr/>
        <w:t xml:space="preserve">Cahier CTSB n°3540 : Guide UEAtc revêtement EPDM,</w:t>
      </w:r>
    </w:p>
    <w:p>
      <w:pPr>
        <w:pPr/>
        <w:numPr>
          <w:ilvl w:val="0"/>
          <w:numId w:val="17"/>
        </w:numPr>
      </w:pPr>
      <w:r>
        <w:rPr/>
        <w:t xml:space="preserve">Cahier CTSB n°3541 : Guide UEATc revêtement FPO,</w:t>
      </w:r>
    </w:p>
    <w:p>
      <w:pPr>
        <w:pPr/>
        <w:numPr>
          <w:ilvl w:val="0"/>
          <w:numId w:val="17"/>
        </w:numPr>
      </w:pPr>
      <w:r>
        <w:rPr/>
        <w:t xml:space="preserve">Cahier CTSB n°3542 : Guide UEAtc revêtement bitume APP ou SBS.</w:t>
      </w:r>
    </w:p>
    <w:p>
      <w:pPr/>
      <w:r>
        <w:rPr>
          <w:b/>
          <w:bCs/>
        </w:rPr>
        <w:t xml:space="preserve">Justification</w:t>
      </w:r>
    </w:p>
    <w:p>
      <w:pPr/>
      <w:r>
        <w:rPr/>
        <w:t xml:space="preserve">Fournir les autocontrôles de productions, selon les Guide UEAtc (selon la nature de la membrane) :</w:t>
      </w:r>
    </w:p>
    <w:p>
      <w:pPr>
        <w:pPr/>
        <w:numPr>
          <w:ilvl w:val="0"/>
          <w:numId w:val="18"/>
        </w:numPr>
      </w:pPr>
      <w:r>
        <w:rPr/>
        <w:t xml:space="preserve">Cahier CTSB n°3539 : Guide UEAtc revêtement PVC,</w:t>
      </w:r>
    </w:p>
    <w:p>
      <w:pPr>
        <w:pPr/>
        <w:numPr>
          <w:ilvl w:val="0"/>
          <w:numId w:val="18"/>
        </w:numPr>
      </w:pPr>
      <w:r>
        <w:rPr/>
        <w:t xml:space="preserve">Cahier CTSB n°3540 : Guide UEAtc revêtement EPDM,</w:t>
      </w:r>
    </w:p>
    <w:p>
      <w:pPr>
        <w:pPr/>
        <w:numPr>
          <w:ilvl w:val="0"/>
          <w:numId w:val="18"/>
        </w:numPr>
      </w:pPr>
      <w:r>
        <w:rPr/>
        <w:t xml:space="preserve">Cahier CTSB n°3541 : Guide UEATc revêtement FPO,</w:t>
      </w:r>
    </w:p>
    <w:p>
      <w:pPr>
        <w:pPr/>
        <w:numPr>
          <w:ilvl w:val="0"/>
          <w:numId w:val="18"/>
        </w:numPr>
      </w:pPr>
      <w:r>
        <w:rPr/>
        <w:t xml:space="preserve">Cahier CTSB n°3542 : Guide UEAtc revêtement bitume APP ou SBS.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01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3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6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1F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D9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CA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4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2A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82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7D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2025-10-25T04:06:27+02:00</dcterms:created>
  <dcterms:modified xsi:type="dcterms:W3CDTF">2025-10-25T04:06:27+02:00</dcterms:modified>
</cp:coreProperties>
</file>

<file path=docProps/custom.xml><?xml version="1.0" encoding="utf-8"?>
<Properties xmlns="http://schemas.openxmlformats.org/officeDocument/2006/custom-properties" xmlns:vt="http://schemas.openxmlformats.org/officeDocument/2006/docPropsVTypes"/>
</file>