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22/01/2026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coulissante en PVC</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ainsiqu’un fichier informatique de situations de pose sont àdisposition sur simple demande.</w:t>
      </w:r>
    </w:p>
    <w:p>
      <w:pPr/>
      <w:r>
        <w:rPr>
          <w:rStyle w:val="font_h1"/>
        </w:rPr>
        <w:t xml:space="preserve">2. Matériaux</w:t>
      </w:r>
    </w:p>
    <w:p>
      <w:pPr>
        <w:ind w:left="720" w:right="0"/>
      </w:pPr>
      <w:r>
        <w:rPr>
          <w:rStyle w:val="font_h2"/>
        </w:rPr>
        <w:t xml:space="preserve">2.1. Profilés PVC</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PVC :</w:t>
      </w:r>
    </w:p>
    <w:p>
      <w:pPr>
        <w:pPr/>
        <w:numPr>
          <w:ilvl w:val="1"/>
          <w:numId w:val="11"/>
        </w:numPr>
      </w:pPr>
      <w:r>
        <w:rPr/>
        <w:t xml:space="preserve">Profilés principaux ;</w:t>
      </w:r>
    </w:p>
    <w:p>
      <w:pPr>
        <w:pPr/>
        <w:numPr>
          <w:ilvl w:val="1"/>
          <w:numId w:val="11"/>
        </w:numPr>
      </w:pPr>
      <w:r>
        <w:rPr/>
        <w:t xml:space="preserve">Profilés complémentaires ;</w:t>
      </w:r>
    </w:p>
    <w:p>
      <w:pPr>
        <w:pPr/>
        <w:numPr>
          <w:ilvl w:val="1"/>
          <w:numId w:val="11"/>
        </w:numPr>
      </w:pPr>
      <w:r>
        <w:rPr/>
        <w:t xml:space="preserve">Films colorés.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métalliques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13/03/2025</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 </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w:t>
      </w:r>
    </w:p>
    <w:p>
      <w:pPr>
        <w:pPr/>
        <w:numPr>
          <w:ilvl w:val="0"/>
          <w:numId w:val="12"/>
        </w:numPr>
      </w:pPr>
      <w:r>
        <w:rPr/>
        <w:t xml:space="preserve">Cadre dormant :</w:t>
      </w:r>
    </w:p>
    <w:p>
      <w:pPr>
        <w:pPr/>
        <w:numPr>
          <w:ilvl w:val="1"/>
          <w:numId w:val="12"/>
        </w:numPr>
      </w:pPr>
      <w:r>
        <w:rPr/>
        <w:t xml:space="preserve">Meneaux ;</w:t>
      </w:r>
    </w:p>
    <w:p>
      <w:pPr>
        <w:pPr/>
        <w:numPr>
          <w:ilvl w:val="1"/>
          <w:numId w:val="12"/>
        </w:numPr>
      </w:pPr>
      <w:r>
        <w:rPr/>
        <w:t xml:space="preserve">Drainage ;</w:t>
      </w:r>
    </w:p>
    <w:p>
      <w:pPr>
        <w:pPr/>
        <w:numPr>
          <w:ilvl w:val="1"/>
          <w:numId w:val="12"/>
        </w:numPr>
      </w:pPr>
      <w:r>
        <w:rPr/>
        <w:t xml:space="preserve">Équilibrage de pression ;</w:t>
      </w:r>
    </w:p>
    <w:p>
      <w:pPr>
        <w:pPr/>
        <w:numPr>
          <w:ilvl w:val="1"/>
          <w:numId w:val="12"/>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13/03/2025</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Renseigner au moins les éléments suivants : </w:t>
      </w:r>
    </w:p>
    <w:p>
      <w:pPr>
        <w:pPr/>
        <w:numPr>
          <w:ilvl w:val="0"/>
          <w:numId w:val="13"/>
        </w:numPr>
      </w:pPr>
      <w:r>
        <w:rPr/>
        <w:t xml:space="preserve">Cadre ouvrant :</w:t>
      </w:r>
    </w:p>
    <w:p>
      <w:pPr>
        <w:pPr/>
        <w:numPr>
          <w:ilvl w:val="1"/>
          <w:numId w:val="13"/>
        </w:numPr>
      </w:pPr>
      <w:r>
        <w:rPr/>
        <w:t xml:space="preserve">Battements ;</w:t>
      </w:r>
    </w:p>
    <w:p>
      <w:pPr>
        <w:pPr/>
        <w:numPr>
          <w:ilvl w:val="1"/>
          <w:numId w:val="13"/>
        </w:numPr>
      </w:pPr>
      <w:r>
        <w:rPr/>
        <w:t xml:space="preserve">Traverses ;</w:t>
      </w:r>
    </w:p>
    <w:p>
      <w:pPr>
        <w:pPr/>
        <w:numPr>
          <w:ilvl w:val="1"/>
          <w:numId w:val="13"/>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Assemblage mécanique</w:t>
      </w:r>
    </w:p>
    <w:p>
      <w:pPr/>
      <w:r>
        <w:rPr/>
        <w:t xml:space="preserve">Validé par le Groupe Spécialisé le 13/03/2025</w:t>
      </w:r>
    </w:p>
    <w:p>
      <w:pPr/>
      <w:r>
        <w:rPr>
          <w:b/>
          <w:bCs/>
        </w:rPr>
        <w:t xml:space="preserve">Description</w:t>
      </w:r>
    </w:p>
    <w:p>
      <w:pPr/>
      <w:r>
        <w:rPr/>
        <w:t xml:space="preserve">Définir la fabrication des cadres (ouvrants dormants), par la description des modalités d’assemblage, d’étanchéité, de drainage et équilibrage de pression ainsi que les prises de volumes qui sont envisagées.</w:t>
      </w:r>
    </w:p>
    <w:p>
      <w:pPr/>
      <w:r>
        <w:rPr>
          <w:i/>
          <w:iCs/>
        </w:rPr>
        <w:t xml:space="preserve">Cf NF EN 14351-1+A2// e-cahier CSTB 3625 // NF DTU 36.5 P1-1 et P1-2 // NF DTU 39 // NF P 20-650-1.</w:t>
      </w:r>
    </w:p>
    <w:p>
      <w:pPr/>
      <w:r>
        <w:rPr>
          <w:b/>
          <w:bCs/>
        </w:rPr>
        <w:t xml:space="preserve">Justification</w:t>
      </w:r>
    </w:p>
    <w:p>
      <w:pPr/>
      <w:r>
        <w:rPr/>
        <w:t xml:space="preserve">Fournir un dossier de plans illustrant toutes les modalités de fabrication des cadres (ouvrants et dormants) des fenêtres objet de la demande.</w:t>
      </w:r>
    </w:p>
    <w:p>
      <w:pPr>
        <w:ind w:left="720" w:right="0"/>
      </w:pPr>
      <w:r>
        <w:rPr>
          <w:rStyle w:val="font_h2"/>
        </w:rPr>
        <w:t xml:space="preserve">3.4. Renforts</w:t>
      </w:r>
    </w:p>
    <w:p>
      <w:pPr>
        <w:ind w:left="720" w:right="0"/>
      </w:pPr>
      <w:r>
        <w:rPr>
          <w:rStyle w:val="font_h2"/>
        </w:rPr>
        <w:t xml:space="preserve">3.5. Ferrage - Verrouillage</w:t>
      </w:r>
    </w:p>
    <w:p>
      <w:pPr>
        <w:ind w:left="720" w:right="0"/>
      </w:pPr>
      <w:r>
        <w:rPr>
          <w:rStyle w:val="font_h2"/>
        </w:rPr>
        <w:t xml:space="preserve">3.6. Vitrage</w:t>
      </w:r>
    </w:p>
    <w:p>
      <w:pPr>
        <w:ind w:left="720" w:right="0"/>
      </w:pPr>
      <w:r>
        <w:rPr>
          <w:rStyle w:val="font_h2"/>
        </w:rPr>
        <w:t xml:space="preserve">3.7.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Extrusion des profilés PVC</w:t>
      </w:r>
    </w:p>
    <w:p>
      <w:pPr>
        <w:ind w:left="720" w:right="0"/>
      </w:pPr>
      <w:r>
        <w:rPr>
          <w:rStyle w:val="font_h2"/>
        </w:rPr>
        <w:t xml:space="preserve">4.2. Assemblage des fenêtres</w:t>
      </w:r>
    </w:p>
    <w:p>
      <w:pPr>
        <w:ind w:left="720" w:right="0"/>
      </w:pPr>
      <w:r>
        <w:rPr>
          <w:rStyle w:val="font_h2"/>
        </w:rPr>
        <w:t xml:space="preserve">4.3. Film</w:t>
      </w:r>
    </w:p>
    <w:p>
      <w:pPr>
        <w:ind w:left="720" w:right="0"/>
      </w:pPr>
      <w:r>
        <w:rPr>
          <w:rStyle w:val="font_h2"/>
        </w:rPr>
        <w:t xml:space="preserve">4.4. Plaxage des profilés</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13/03/2025</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 e-cahier CSTB 3521 et 3709_V2.</w:t>
      </w:r>
    </w:p>
    <w:p>
      <w:pPr/>
      <w:r>
        <w:rPr>
          <w:b/>
          <w:bCs/>
        </w:rPr>
        <w:t xml:space="preserve">Justification</w:t>
      </w:r>
    </w:p>
    <w:p>
      <w:pPr/>
      <w:r>
        <w:rPr/>
        <w:t xml:space="preserve">Fournir un dossier de plans illustrant toutes les modalités de mise en oeuvre des fenêtres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13/03/2025</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NB : Se reporter au NF DTU 36.5, e-cahier CSTB 3521 et 3709_V2.</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13/03/2025</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4"/>
        </w:numPr>
      </w:pPr>
      <w:r>
        <w:rPr/>
        <w:t xml:space="preserve">Sur les constituants :</w:t>
      </w:r>
    </w:p>
    <w:p>
      <w:pPr>
        <w:pPr/>
        <w:numPr>
          <w:ilvl w:val="1"/>
          <w:numId w:val="14"/>
        </w:numPr>
      </w:pPr>
      <w:r>
        <w:rPr>
          <w:i/>
          <w:iCs/>
        </w:rPr>
        <w:t xml:space="preserve">profilés PVC (Cf NF EN 12 608 + référentiel QB 59) ;</w:t>
      </w:r>
    </w:p>
    <w:p>
      <w:pPr>
        <w:pPr/>
        <w:numPr>
          <w:ilvl w:val="1"/>
          <w:numId w:val="14"/>
        </w:numPr>
      </w:pPr>
      <w:r>
        <w:rPr>
          <w:i/>
          <w:iCs/>
        </w:rPr>
        <w:t xml:space="preserve">garnitures d’étanchéité (Pour la partie active des profilés (hormis ceux en EPDM) qui assurent une fonction d’étanchéité, leur composition matière doit être conforme au référentiel de certification QB 36) ;</w:t>
      </w:r>
    </w:p>
    <w:p>
      <w:pPr>
        <w:pPr/>
        <w:numPr>
          <w:ilvl w:val="1"/>
          <w:numId w:val="14"/>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4"/>
        </w:numPr>
      </w:pPr>
      <w:r>
        <w:rPr>
          <w:i/>
          <w:iCs/>
        </w:rPr>
        <w:t xml:space="preserve">vitrages (Ils doivent bénéficier d’un certificat de qualification.).</w:t>
      </w:r>
    </w:p>
    <w:p>
      <w:pPr>
        <w:pPr/>
        <w:numPr>
          <w:ilvl w:val="0"/>
          <w:numId w:val="14"/>
        </w:numPr>
      </w:pPr>
      <w:r>
        <w:rPr/>
        <w:t xml:space="preserve">Sur les fenêtres :</w:t>
      </w:r>
    </w:p>
    <w:p>
      <w:pPr>
        <w:pPr/>
        <w:numPr>
          <w:ilvl w:val="1"/>
          <w:numId w:val="14"/>
        </w:numPr>
      </w:pPr>
      <w:r>
        <w:rPr>
          <w:i/>
          <w:iCs/>
        </w:rPr>
        <w:t xml:space="preserve">fournir copie des essais AEV, mécaniques spécifiques et endurance à l’ouverture/fermeture réalisés (Cf e-cahier 3706_V2, NF EN 14351-1+A2, NF P 20-501, NF P20-302. NB : performances minimum demandées A2 E5A (ou E5B)VA2.) ;</w:t>
      </w:r>
    </w:p>
    <w:p>
      <w:pPr>
        <w:pPr/>
        <w:numPr>
          <w:ilvl w:val="1"/>
          <w:numId w:val="14"/>
        </w:numPr>
      </w:pPr>
      <w:r>
        <w:rPr>
          <w:i/>
          <w:iCs/>
        </w:rPr>
        <w:t xml:space="preserve">fournir copie des essais de perméabilité à l’air sous gradient de température (si concerné) (Cf NF DTU 36.5 P2 – Annexe A) ;</w:t>
      </w:r>
    </w:p>
    <w:p>
      <w:pPr>
        <w:pPr/>
        <w:numPr>
          <w:ilvl w:val="1"/>
          <w:numId w:val="14"/>
        </w:numPr>
      </w:pPr>
      <w:r>
        <w:rPr>
          <w:i/>
          <w:iCs/>
        </w:rPr>
        <w:t xml:space="preserve">fournir les calculs thermiques (Cf Règles Th-Bât Fascicule Parois vitrées RE2020) ;</w:t>
      </w:r>
    </w:p>
    <w:p>
      <w:pPr>
        <w:pPr/>
        <w:numPr>
          <w:ilvl w:val="1"/>
          <w:numId w:val="14"/>
        </w:numPr>
      </w:pPr>
      <w:r>
        <w:rPr>
          <w:i/>
          <w:iCs/>
        </w:rPr>
        <w:t xml:space="preserve">fournir les dispositions pour l’intégration d’entrée d’air (Cf e-cahier 3376_V3).</w:t>
      </w:r>
    </w:p>
    <w:p>
      <w:pPr/>
      <w:r>
        <w:rPr/>
        <w:t xml:space="preserve">Fournir copie de rapport d’essais sur produit de calfeutrement ayant fait l’objet d’essais satisfaisants de compatibilité – cohésion/adhésion sur les profilés et accessoires en contact </w:t>
      </w:r>
      <w:r>
        <w:rPr>
          <w:i/>
          <w:iCs/>
        </w:rPr>
        <w:t xml:space="preserve">(CF NF P85-504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5"/>
        </w:numPr>
      </w:pPr>
      <w:r>
        <w:rPr/>
        <w:t xml:space="preserve">localiser et préciser les situations de pose ;</w:t>
      </w:r>
    </w:p>
    <w:p>
      <w:pPr>
        <w:pPr/>
        <w:numPr>
          <w:ilvl w:val="0"/>
          <w:numId w:val="15"/>
        </w:numPr>
      </w:pPr>
      <w:r>
        <w:rPr/>
        <w:t xml:space="preserve">identifier les types de menuiseries ;</w:t>
      </w:r>
    </w:p>
    <w:p>
      <w:pPr>
        <w:pPr/>
        <w:numPr>
          <w:ilvl w:val="0"/>
          <w:numId w:val="15"/>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(02) Position du GS sur les dossiers de suivi des fenêtres respirantes</w:t>
      </w:r>
    </w:p>
    <w:p>
      <w:pPr/>
      <w:r>
        <w:rPr/>
        <w:t xml:space="preserve">Validé par le Groupe Spécialisé le 02/01/2018</w:t>
      </w:r>
    </w:p>
    <w:p>
      <w:pPr/>
      <w:r>
        <w:rPr>
          <w:b/>
          <w:bCs/>
        </w:rPr>
        <w:t xml:space="preserve">Description</w:t>
      </w:r>
    </w:p>
    <w:p>
      <w:pPr/>
      <w:r>
        <w:rPr/>
        <w:t xml:space="preserve">Il sera précisé sur la première page des DTA, par un encart, ainsi que dans les remarques complémentaires du Groupe Spécialisé, que seules les unités de fabrication bénéficiant d’un suivi « pass respirant » pourront se prévaloir du DTA.De plus, en l’absence de mesure de la perméabilité à l’air de la paroi intérieure, la valeur par défaut de débit de 0,5 m3/ (h.m2) sous 150 Pa sera considérée comme l’exigence maximale de débit de fuite à l’air dans le cadre des essais de contrôle à réaliser en usine.</w:t>
      </w:r>
    </w:p>
    <w:p>
      <w:pPr>
        <w:ind w:left="720" w:right="0"/>
      </w:pPr>
      <w:r>
        <w:rPr>
          <w:rStyle w:val="font_h2"/>
        </w:rPr>
        <w:t xml:space="preserve">8.2. 2017 (03) Position du GS sur les dossiers de suivi des fenêtres respirantes</w:t>
      </w:r>
    </w:p>
    <w:p>
      <w:pPr/>
      <w:r>
        <w:rPr/>
        <w:t xml:space="preserve">Validé par le Groupe Spécialisé le 02/01/2018</w:t>
      </w:r>
    </w:p>
    <w:p>
      <w:pPr/>
      <w:r>
        <w:rPr>
          <w:b/>
          <w:bCs/>
        </w:rPr>
        <w:t xml:space="preserve">Description</w:t>
      </w:r>
    </w:p>
    <w:p>
      <w:pPr/>
      <w:r>
        <w:rPr/>
        <w:t xml:space="preserve">La mise en application des dispositions de contrôles en production et de suivi des unités de fabrication des fenêtres respirantes sous DTA, selon les critères définis dans le cahier CSTB 3759, a été acté, elle est d’application effective depuis le 1er mars 2017.</w:t>
      </w:r>
    </w:p>
    <w:p>
      <w:pPr>
        <w:ind w:left="720" w:right="0"/>
      </w:pPr>
      <w:r>
        <w:rPr>
          <w:rStyle w:val="font_h2"/>
        </w:rPr>
        <w:t xml:space="preserve">8.3.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8.4.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6"/>
        </w:numPr>
      </w:pPr>
      <w:r>
        <w:rPr/>
        <w:t xml:space="preserve">difficulté de connaitre vraiment l’état des pattes de fixation,</w:t>
      </w:r>
    </w:p>
    <w:p>
      <w:pPr>
        <w:pPr/>
        <w:numPr>
          <w:ilvl w:val="0"/>
          <w:numId w:val="16"/>
        </w:numPr>
      </w:pPr>
      <w:r>
        <w:rPr/>
        <w:t xml:space="preserve">solution thermiquement très difficile à réaliser correctement vis-à-vis de la liaison entre le nouveau et l’ancien dormant,</w:t>
      </w:r>
    </w:p>
    <w:p>
      <w:pPr>
        <w:pPr/>
        <w:numPr>
          <w:ilvl w:val="0"/>
          <w:numId w:val="16"/>
        </w:numPr>
      </w:pPr>
      <w:r>
        <w:rPr/>
        <w:t xml:space="preserve">connaissance très difficile des matières PVC des anciens dormants et de leur état de conservation,</w:t>
      </w:r>
    </w:p>
    <w:p>
      <w:pPr>
        <w:pPr/>
        <w:numPr>
          <w:ilvl w:val="0"/>
          <w:numId w:val="16"/>
        </w:numPr>
      </w:pPr>
      <w:r>
        <w:rPr/>
        <w:t xml:space="preserve">compatibilité de ces matières avec les mastics de calfeutrement à utiliser,</w:t>
      </w:r>
    </w:p>
    <w:p>
      <w:pPr>
        <w:pPr/>
        <w:numPr>
          <w:ilvl w:val="0"/>
          <w:numId w:val="16"/>
        </w:numPr>
      </w:pPr>
      <w:r>
        <w:rPr/>
        <w:t xml:space="preserve">difficulté pour conserver le clair de vitrage.</w:t>
      </w:r>
    </w:p>
    <w:p>
      <w:pPr>
        <w:ind w:left="720" w:right="0"/>
      </w:pPr>
      <w:r>
        <w:rPr>
          <w:rStyle w:val="font_h2"/>
        </w:rPr>
        <w:t xml:space="preserve">8.5.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8.8.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8.9.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8.10.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8.11.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7"/>
        </w:numPr>
      </w:pPr>
      <w:r>
        <w:rPr/>
        <w:t xml:space="preserve">Un profilé complémentaire est nécessaire afin de réaliser une zone de calfeutrement d'au moins 10 mm</w:t>
      </w:r>
    </w:p>
    <w:p>
      <w:pPr>
        <w:ind w:left="720" w:right="0"/>
      </w:pPr>
      <w:r>
        <w:rPr>
          <w:rStyle w:val="font_h2"/>
        </w:rPr>
        <w:t xml:space="preserve">8.12.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8.13.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8.14.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8.15.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8.16.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8.17.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8.18. 2020 (02) Prise en compte de la déformation des planchers béton</w:t>
      </w:r>
    </w:p>
    <w:p>
      <w:pPr/>
      <w:r>
        <w:rPr/>
        <w:t xml:space="preserve">Validé par le Groupe Spécialisé le 25/06/2020</w:t>
      </w:r>
    </w:p>
    <w:p>
      <w:pPr/>
      <w:r>
        <w:rPr>
          <w:b/>
          <w:bCs/>
        </w:rPr>
        <w:t xml:space="preserve">Description</w:t>
      </w:r>
    </w:p>
    <w:p>
      <w:pPr/>
      <w:r>
        <w:rPr/>
        <w:t xml:space="preserve">Pour les systèmes coulissants supérieurs à 4 m de largeur, il conviendra :</w:t>
      </w:r>
    </w:p>
    <w:p>
      <w:pPr>
        <w:pPr/>
        <w:numPr>
          <w:ilvl w:val="0"/>
          <w:numId w:val="19"/>
        </w:numPr>
      </w:pPr>
      <w:r>
        <w:rPr/>
        <w:t xml:space="preserve">soit de justifier que la déformation des planchers haut et bas est inférieure ou égale à 1 mm, le plancher est alors considéré comme « infiniment » rigide ;</w:t>
      </w:r>
    </w:p>
    <w:p>
      <w:pPr>
        <w:pPr/>
        <w:numPr>
          <w:ilvl w:val="0"/>
          <w:numId w:val="19"/>
        </w:numPr>
      </w:pPr>
      <w:r>
        <w:rPr/>
        <w:t xml:space="preserve">soit de mener une étude et de donner un recouvrement minimum.</w:t>
      </w:r>
    </w:p>
    <w:p>
      <w:pPr/>
      <w:r>
        <w:rPr/>
        <w:t xml:space="preserve">Ces informations seront inscrites dans les paragraphes domaine d’emploi, prescriptions techniques et remarques complémentaires du GS.</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Condition d'extension des dimensions pour les fenêtres coulissantes certifiées</w:t>
      </w:r>
    </w:p>
    <w:p>
      <w:pPr/>
      <w:r>
        <w:rPr/>
        <w:t xml:space="preserve">Validé par le Groupe Spécialisé le 29/10/2020</w:t>
      </w:r>
    </w:p>
    <w:p>
      <w:pPr/>
      <w:r>
        <w:rPr>
          <w:b/>
          <w:bCs/>
        </w:rPr>
        <w:t xml:space="preserve">Description</w:t>
      </w:r>
    </w:p>
    <w:p>
      <w:pPr/>
      <w:r>
        <w:rPr/>
        <w:t xml:space="preserve">Les conditions d’extension des dimensions des fenêtres coulissantes certifiées évoluent de la manière suivante :</w:t>
      </w:r>
    </w:p>
    <w:p>
      <w:pPr>
        <w:pPr/>
        <w:numPr>
          <w:ilvl w:val="0"/>
          <w:numId w:val="23"/>
        </w:numPr>
      </w:pPr>
      <w:r>
        <w:rPr/>
        <w:t xml:space="preserve">Pour la largeur : extension possible dans le cadre de la certification ;</w:t>
      </w:r>
    </w:p>
    <w:p>
      <w:pPr>
        <w:pPr/>
        <w:numPr>
          <w:ilvl w:val="0"/>
          <w:numId w:val="23"/>
        </w:numPr>
      </w:pPr>
      <w:r>
        <w:rPr/>
        <w:t xml:space="preserve">Pour la hauteur : extension possible uniquement le cadre du DTA.</w:t>
      </w:r>
    </w:p>
    <w:p>
      <w:pPr>
        <w:ind w:left="720" w:right="0"/>
      </w:pPr>
      <w:r>
        <w:rPr>
          <w:rStyle w:val="font_h2"/>
        </w:rPr>
        <w:t xml:space="preserve">8.23. 2020 (10) Charge maximum des chariots dans le cas des fenêtres coulissantes</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4"/>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4"/>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8.26. 2020 (12) Coulissant mis en œuvre sur ossature bois</w:t>
      </w:r>
    </w:p>
    <w:p>
      <w:pPr/>
      <w:r>
        <w:rPr/>
        <w:t xml:space="preserve">Validé par le Groupe Spécialisé le 04/02/2021</w:t>
      </w:r>
    </w:p>
    <w:p>
      <w:pPr/>
      <w:r>
        <w:rPr>
          <w:b/>
          <w:bCs/>
        </w:rPr>
        <w:t xml:space="preserve">Description</w:t>
      </w:r>
    </w:p>
    <w:p>
      <w:pPr/>
      <w:r>
        <w:rPr/>
        <w:t xml:space="preserve">Les systèmes de fenêtre coulissant dont le domaine d'emploi prévoit la pose sur ossature bois doivent justifier de la compatibilité de leur système avec les déformations du gros œuvre inhérentes à l'ossature bois. Notamment en ce qui concerne le recouvrement du dormant par les ouvrants, afin de palier à tout risque de déchaussement des ouvrants ou de difficultés de fonctionnement.</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8.30. 2021 (03) Mise en œuvre des coulissants en rénovation sur dormant existant</w:t>
      </w:r>
    </w:p>
    <w:p>
      <w:pPr/>
      <w:r>
        <w:rPr/>
        <w:t xml:space="preserve">Validé par le Groupe Spécialisé le 06/05/2021</w:t>
      </w:r>
    </w:p>
    <w:p>
      <w:pPr/>
      <w:r>
        <w:rPr>
          <w:b/>
          <w:bCs/>
        </w:rPr>
        <w:t xml:space="preserve">Description</w:t>
      </w:r>
    </w:p>
    <w:p>
      <w:pPr/>
      <w:r>
        <w:rPr/>
        <w:t xml:space="preserve">Lorsque le domaine d’emploi d’un système de coulissant prévoit la pose en rénovation sur dormant existant, un plan de mise en œuvre sur dormant bois de 48 mm d’épaisseur (et non plus 36 mm) sera demandé.Le domaine d’emploi des DTA concernés précisera cette épaisseur minimum de 48mm.</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5"/>
        </w:numPr>
      </w:pPr>
      <w:r>
        <w:rPr/>
        <w:t xml:space="preserve">Vis inox A2 pour la fixation d’éléments démontables.</w:t>
      </w:r>
    </w:p>
    <w:p>
      <w:pPr>
        <w:pPr/>
        <w:numPr>
          <w:ilvl w:val="0"/>
          <w:numId w:val="25"/>
        </w:numPr>
      </w:pPr>
      <w:r>
        <w:rPr/>
        <w:t xml:space="preserve">Vis zinguées de classe 4 selon la norme EN 1670 pour les éléments non démontables.</w:t>
      </w:r>
    </w:p>
    <w:p>
      <w:pPr>
        <w:ind w:left="720" w:right="0"/>
      </w:pPr>
      <w:r>
        <w:rPr>
          <w:rStyle w:val="font_h2"/>
        </w:rPr>
        <w:t xml:space="preserve">8.33. 2021 (05) Coulissant mis en œuvre sur ossature bois</w:t>
      </w:r>
    </w:p>
    <w:p>
      <w:pPr/>
      <w:r>
        <w:rPr/>
        <w:t xml:space="preserve">Validé par le Groupe Spécialisé le 17/06/2021</w:t>
      </w:r>
    </w:p>
    <w:p>
      <w:pPr/>
      <w:r>
        <w:rPr>
          <w:b/>
          <w:bCs/>
        </w:rPr>
        <w:t xml:space="preserve">Description</w:t>
      </w:r>
    </w:p>
    <w:p>
      <w:pPr/>
      <w:r>
        <w:rPr/>
        <w:t xml:space="preserve">La jurisprudence 2020 (12) « Coulissants mis en œuvre en ossature bois » concernant l’obligation de justifier la compatibilité des systèmes avec les déformations du gros œuvre inhérentes à l'ossature bois est annulée.</w:t>
      </w:r>
    </w:p>
    <w:p>
      <w:pPr/>
      <w:r>
        <w:rPr/>
        <w:t xml:space="preserve">Les dossiers ayant eu une limitation du domaine d’emploi suite à cette jurisprudence vont être révisés d’office afin de lever cette limitation.Une proposition sera faite pour le prochain GS6 quant aux déformations acceptables et/ou aux justifications à apporter dans le cas de pose d'une fenêtre sur ossature bois.</w:t>
      </w:r>
    </w:p>
    <w:p>
      <w:pPr>
        <w:ind w:left="720" w:right="0"/>
      </w:pPr>
      <w:r>
        <w:rPr>
          <w:rStyle w:val="font_h2"/>
        </w:rPr>
        <w:t xml:space="preserve">8.34.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8.35.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8.36.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6"/>
        </w:numPr>
      </w:pPr>
      <w:r>
        <w:rPr/>
        <w:t xml:space="preserve">label Qualimarine avec alliage qualité bâtiment selon définition du DTU 33.1 ;</w:t>
      </w:r>
    </w:p>
    <w:p>
      <w:pPr/>
      <w:r>
        <w:rPr/>
        <w:t xml:space="preserve">ou bien</w:t>
      </w:r>
    </w:p>
    <w:p>
      <w:pPr>
        <w:pPr/>
        <w:numPr>
          <w:ilvl w:val="0"/>
          <w:numId w:val="27"/>
        </w:numPr>
      </w:pPr>
      <w:r>
        <w:rPr/>
        <w:t xml:space="preserve">label Qualicoat Seaside AA1 ou AA2 minimum avec alliage qualité bâtiment selon définition du DTU 33.1.</w:t>
      </w:r>
    </w:p>
    <w:p>
      <w:pPr>
        <w:ind w:left="720" w:right="0"/>
      </w:pPr>
      <w:r>
        <w:rPr>
          <w:rStyle w:val="font_h2"/>
        </w:rPr>
        <w:t xml:space="preserve">8.37.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8.38.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8.39. 2022 (03) Condition d'extension des dimensions pour les fenêtres coulissantes certifiées</w:t>
      </w:r>
    </w:p>
    <w:p>
      <w:pPr/>
      <w:r>
        <w:rPr/>
        <w:t xml:space="preserve">Validé par le Groupe Spécialisé le 13/04/2022</w:t>
      </w:r>
    </w:p>
    <w:p>
      <w:pPr/>
      <w:r>
        <w:rPr>
          <w:b/>
          <w:bCs/>
        </w:rPr>
        <w:t xml:space="preserve">Description</w:t>
      </w:r>
    </w:p>
    <w:p>
      <w:pPr/>
      <w:r>
        <w:rPr/>
        <w:t xml:space="preserve">En complément de la jurisprudence 2020 (02) Prise en compte de la déformation des planchers béton : « Pour les systèmes coulissants supérieurs à 4 m de largeur, il conviendra :</w:t>
      </w:r>
    </w:p>
    <w:p>
      <w:pPr>
        <w:pPr/>
        <w:numPr>
          <w:ilvl w:val="0"/>
          <w:numId w:val="28"/>
        </w:numPr>
      </w:pPr>
      <w:r>
        <w:rPr/>
        <w:t xml:space="preserve">Soit de justifier que la déformation des planchers haut et bas est inférieure ou égale à 1 mm, le plancher est alors considéré comme « infiniment » rigide.</w:t>
      </w:r>
    </w:p>
    <w:p>
      <w:pPr>
        <w:pPr/>
        <w:numPr>
          <w:ilvl w:val="0"/>
          <w:numId w:val="28"/>
        </w:numPr>
      </w:pPr>
      <w:r>
        <w:rPr/>
        <w:t xml:space="preserve">Soit de mener une étude et de donner un recouvrement minimum qui sera inscrit dans les paragraphes domaine d’emploi, prescriptions techniques et remarques complémentaires du GS. ».</w:t>
      </w:r>
    </w:p>
    <w:p>
      <w:pPr/>
      <w:r>
        <w:rPr/>
        <w:t xml:space="preserve">Il sera indiqué dans les DTA « Pour les fabrications certifiées, des dimensions supérieures peuvent être envisagées (il y aura lieu d'apporter des justifications spécifiques dans le cadre du DTA pour tenir compte de la déformation du gros œuvre et de la sécurité au-delà de 4 m de largeur). ».</w:t>
      </w:r>
    </w:p>
    <w:p>
      <w:pPr>
        <w:ind w:left="720" w:right="0"/>
      </w:pPr>
      <w:r>
        <w:rPr>
          <w:rStyle w:val="font_h2"/>
        </w:rPr>
        <w:t xml:space="preserve">8.40.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29"/>
        </w:numPr>
      </w:pPr>
      <w:r>
        <w:rPr/>
        <w:t xml:space="preserve">Garantir une constance de qualité de fabrication et une constance de la composition chimique.</w:t>
      </w:r>
    </w:p>
    <w:p>
      <w:pPr>
        <w:pPr/>
        <w:numPr>
          <w:ilvl w:val="0"/>
          <w:numId w:val="29"/>
        </w:numPr>
      </w:pPr>
      <w:r>
        <w:rPr/>
        <w:t xml:space="preserve">En cas de changement, informer le CSTB de toute modification de la composition de son produit.</w:t>
      </w:r>
    </w:p>
    <w:p>
      <w:pPr>
        <w:pPr/>
        <w:numPr>
          <w:ilvl w:val="0"/>
          <w:numId w:val="29"/>
        </w:numPr>
      </w:pPr>
      <w:r>
        <w:rPr/>
        <w:t xml:space="preserve">Assurer le contrôle qualité en fabrication garantissant les performances de son produit.</w:t>
      </w:r>
    </w:p>
    <w:p>
      <w:pPr>
        <w:ind w:left="720" w:right="0"/>
      </w:pPr>
      <w:r>
        <w:rPr>
          <w:rStyle w:val="font_h2"/>
        </w:rPr>
        <w:t xml:space="preserve">8.41.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8.42.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0"/>
        </w:numPr>
      </w:pPr>
      <w:r>
        <w:rPr/>
        <w:t xml:space="preserve">Pour tous les nouveaux systèmes ;</w:t>
      </w:r>
    </w:p>
    <w:p>
      <w:pPr>
        <w:pPr/>
        <w:numPr>
          <w:ilvl w:val="0"/>
          <w:numId w:val="30"/>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8.43.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8.44. 2023 (03) Opportunité de ne plus standardiser les dimensions maximales des fenêtres PVC</w:t>
      </w:r>
    </w:p>
    <w:p>
      <w:pPr/>
      <w:r>
        <w:rPr/>
        <w:t xml:space="preserve">Validé par le Groupe Spécialisé le 20/04/2023</w:t>
      </w:r>
    </w:p>
    <w:p>
      <w:pPr/>
      <w:r>
        <w:rPr>
          <w:b/>
          <w:bCs/>
        </w:rPr>
        <w:t xml:space="preserve">Description</w:t>
      </w:r>
    </w:p>
    <w:p>
      <w:pPr/>
      <w:r>
        <w:rPr/>
        <w:t xml:space="preserve">Le GS6 acte la possibilité de présenter des projets de DTA de fenêtre en PVC dont les dimensions maximales sont supérieures aux dimensions « standardisées » comme c’est déjà le cas pour les DTA de fenêtres en Aluminium RPT.</w:t>
      </w:r>
    </w:p>
    <w:p>
      <w:pPr>
        <w:ind w:left="720" w:right="0"/>
      </w:pPr>
      <w:r>
        <w:rPr>
          <w:rStyle w:val="font_h2"/>
        </w:rPr>
        <w:t xml:space="preserve">8.45.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8.46.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8.47.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8.48.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8.49. 2023 (10) Butée d’arrêt</w:t>
      </w:r>
    </w:p>
    <w:p>
      <w:pPr/>
      <w:r>
        <w:rPr/>
        <w:t xml:space="preserve">Validé par le Groupe Spécialisé le 16/11/2023</w:t>
      </w:r>
    </w:p>
    <w:p>
      <w:pPr/>
      <w:r>
        <w:rPr>
          <w:b/>
          <w:bCs/>
        </w:rPr>
        <w:t xml:space="preserve">Description</w:t>
      </w:r>
    </w:p>
    <w:p>
      <w:pPr/>
      <w:r>
        <w:rPr/>
        <w:t xml:space="preserve">Dans le cas des fenêtres coulissantes, la phrase suivante doit être ajoutée au paragraphe « Disposition de conception » : « Dans certains cas, il peut être nécessaire d’installer des buttées d’arrêt afin de pallier aux risques de casse thermique des vitrages ».</w:t>
      </w:r>
    </w:p>
    <w:p>
      <w:pPr>
        <w:ind w:left="720" w:right="0"/>
      </w:pPr>
      <w:r>
        <w:rPr>
          <w:rStyle w:val="font_h2"/>
        </w:rPr>
        <w:t xml:space="preserve">8.50.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8.51.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8.52.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1"/>
        </w:numPr>
      </w:pPr>
      <w:r>
        <w:rPr/>
        <w:t xml:space="preserve">le préciser dans le paragraphe « domaine d’emploi », </w:t>
      </w:r>
    </w:p>
    <w:p>
      <w:pPr>
        <w:pPr/>
        <w:numPr>
          <w:ilvl w:val="0"/>
          <w:numId w:val="31"/>
        </w:numPr>
      </w:pPr>
      <w:r>
        <w:rPr/>
        <w:t xml:space="preserve">l’indiquer dans le paragraphe « remarques complémentaires du groupe spécialisé », </w:t>
      </w:r>
    </w:p>
    <w:p>
      <w:pPr>
        <w:pPr/>
        <w:numPr>
          <w:ilvl w:val="0"/>
          <w:numId w:val="31"/>
        </w:numPr>
      </w:pPr>
      <w:r>
        <w:rPr/>
        <w:t xml:space="preserve">présenter dans le dossier publié un schéma montrant la mise en place de ce profilé et son interaction avec le gros œuvre.</w:t>
      </w:r>
    </w:p>
    <w:p>
      <w:pPr>
        <w:ind w:left="720" w:right="0"/>
      </w:pPr>
      <w:r>
        <w:rPr>
          <w:rStyle w:val="font_h2"/>
        </w:rPr>
        <w:t xml:space="preserve">8.53.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8.54.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8.55.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8.56.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8.57. 2024 (02) Mise en œuvre sur ossature métallique dans le domaine emploi</w:t>
      </w:r>
    </w:p>
    <w:p>
      <w:pPr/>
      <w:r>
        <w:rPr/>
        <w:t xml:space="preserve">Validé par le Groupe Spécialisé le 13/03/2024</w:t>
      </w:r>
    </w:p>
    <w:p>
      <w:pPr/>
      <w:r>
        <w:rPr>
          <w:b/>
          <w:bCs/>
        </w:rPr>
        <w:t xml:space="preserve">Description</w:t>
      </w:r>
    </w:p>
    <w:p>
      <w:pPr/>
      <w:r>
        <w:rPr/>
        <w:t xml:space="preserve">Pour justifier de l’ajout de la mise en œuvre sur ossature métallique dans le domaine d’emploi de son système, le demandeur devra fournir un plan de mise en œuvre en tunnel.</w:t>
      </w:r>
    </w:p>
    <w:p>
      <w:pPr>
        <w:ind w:left="720" w:right="0"/>
      </w:pPr>
      <w:r>
        <w:rPr>
          <w:rStyle w:val="font_h2"/>
        </w:rPr>
        <w:t xml:space="preserve">8.58.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8.59.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2"/>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2"/>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8.60.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8.61.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8.62. 2025 (03) Protection de la traverse haute dans le cas des bardages ventilés</w:t>
      </w:r>
    </w:p>
    <w:p>
      <w:pPr/>
      <w:r>
        <w:rPr/>
        <w:t xml:space="preserve">Validé par le Groupe Spécialisé le 15/05/2025</w:t>
      </w:r>
    </w:p>
    <w:p>
      <w:pPr/>
      <w:r>
        <w:rPr>
          <w:b/>
          <w:bCs/>
        </w:rPr>
        <w:t xml:space="preserve">Description</w:t>
      </w:r>
    </w:p>
    <w:p>
      <w:pPr/>
      <w:r>
        <w:rPr/>
        <w:t xml:space="preserve">La phrase « Dans le cas de mise en œuvre en ITE avec bardage ventilé, il y aura lieu de prévoir une protection de la traverse haute de manière systématique (de type membrane, larmier, …). » sera ajoutée systématiquement dans chapitre Dispositions de mise en œuvre, dans le paragraphe Cas de l’ITE.</w:t>
      </w:r>
    </w:p>
    <w:p>
      <w:pPr>
        <w:ind w:left="720" w:right="0"/>
      </w:pPr>
      <w:r>
        <w:rPr>
          <w:rStyle w:val="font_h2"/>
        </w:rPr>
        <w:t xml:space="preserve">8.63. 2025 (06) Réalisation de l’essai à l’eau E* avec reconstitution de dalle sur plot</w:t>
      </w:r>
    </w:p>
    <w:p>
      <w:pPr/>
      <w:r>
        <w:rPr/>
        <w:t xml:space="preserve">Validé par le Groupe Spécialisé le 18/09/2025</w:t>
      </w:r>
    </w:p>
    <w:p>
      <w:pPr/>
      <w:r>
        <w:rPr>
          <w:b/>
          <w:bCs/>
        </w:rPr>
        <w:t xml:space="preserve">Description</w:t>
      </w:r>
    </w:p>
    <w:p>
      <w:pPr/>
      <w:r>
        <w:rPr/>
        <w:t xml:space="preserve">En complément de la jurisprudence de décembre 2023 concernant la réalisation d’essais avec dalles sur plots, si revendiqué, le GS6 acte le protocole suivant : planche en contre-plaqué mise en place à 5 mm de la fenêtre avec un espace libre entre la planche et le mur du banc d’essais de 20 mm environ, des perçages de diamètre 24 mm seront réalisés tous les 500 mm.</w:t>
      </w:r>
    </w:p>
    <w:p>
      <w:pPr>
        <w:ind w:left="720" w:right="0"/>
      </w:pPr>
      <w:r>
        <w:rPr>
          <w:rStyle w:val="font_h2"/>
        </w:rPr>
        <w:t xml:space="preserve">8.64. 2025 (06) Ajout paragraphe concernant l’évaluation du risque de chute</w:t>
      </w:r>
    </w:p>
    <w:p>
      <w:pPr/>
      <w:r>
        <w:rPr/>
        <w:t xml:space="preserve">Validé par le Groupe Spécialisé le 18/09/2025</w:t>
      </w:r>
    </w:p>
    <w:p>
      <w:pPr/>
      <w:r>
        <w:rPr>
          <w:b/>
          <w:bCs/>
        </w:rPr>
        <w:t xml:space="preserve">Description</w:t>
      </w:r>
    </w:p>
    <w:p>
      <w:pPr/>
      <w:r>
        <w:rPr/>
        <w:t xml:space="preserve">Rappel de la jurisprudence de juin 2015 :Lorsque les feuillures d’ouvrant ou dormant ne répondent pas aux exigences du DTU 39 P5 § 4.2.3, la remarque suivante, sera ajoutée au § 2.1 Domaine d’emploi accepté de la partie Avis du DTA :« Le système tel que décrit dans le Dossier Technique ne répond pas aux exigences du DTU 39 P5 § 4.2.3, vis-à-vis de la sécurité aux chutes des personnes. » </w:t>
      </w:r>
    </w:p>
    <w:p>
      <w:pPr/>
      <w:r>
        <w:rPr/>
        <w:t xml:space="preserve">Cette jurisprudence est complétée de la manière suivante :Si deux essais de choc selon la NF P 08-302 (largeur mini et largeur maxi) sont réalisés dans le cadre de l’instruction, la remarque devient : « la sécurité aux chutes des personnes n’est pas évaluée dans le présent document. Il conviendra de l’’évaluer au cas par cas et de s’assurer du respect du calage du vitrage conformément au NF DTU 39 ou NF P 20-650-1 ».</w:t>
      </w:r>
    </w:p>
    <w:p>
      <w:pPr>
        <w:ind w:left="720" w:right="0"/>
      </w:pPr>
      <w:r>
        <w:rPr>
          <w:rStyle w:val="font_h2"/>
        </w:rPr>
        <w:t xml:space="preserve">8.65. 2025 (09) Classement minimum obtenu à l’essai de perméabilité à l’air sous gradient de température</w:t>
      </w:r>
    </w:p>
    <w:p>
      <w:pPr/>
      <w:r>
        <w:rPr/>
        <w:t xml:space="preserve">Validé par le Groupe Spécialisé le 16/10/2025</w:t>
      </w:r>
    </w:p>
    <w:p>
      <w:pPr/>
      <w:r>
        <w:rPr>
          <w:b/>
          <w:bCs/>
        </w:rPr>
        <w:t xml:space="preserve">Description</w:t>
      </w:r>
    </w:p>
    <w:p>
      <w:pPr/>
      <w:r>
        <w:rPr/>
        <w:t xml:space="preserve">Lors de l’essai de perméabilité sous gradient de température, les résultats suivants peuvent être obtenus : </w:t>
      </w:r>
    </w:p>
    <w:p>
      <w:pPr>
        <w:pPr/>
        <w:numPr>
          <w:ilvl w:val="0"/>
          <w:numId w:val="33"/>
        </w:numPr>
      </w:pPr>
      <w:r>
        <w:rPr/>
        <w:t xml:space="preserve">Classement A*3 : la justification est jugée recevable. </w:t>
      </w:r>
    </w:p>
    <w:p>
      <w:pPr>
        <w:pPr/>
        <w:numPr>
          <w:ilvl w:val="0"/>
          <w:numId w:val="33"/>
        </w:numPr>
      </w:pPr>
      <w:r>
        <w:rPr/>
        <w:t xml:space="preserve">Classement A*3 jusqu’à 450 Pa : la justification est présentable devant le GS6 qui jugera à dire d’experts. </w:t>
      </w:r>
    </w:p>
    <w:p>
      <w:pPr>
        <w:pPr/>
        <w:numPr>
          <w:ilvl w:val="0"/>
          <w:numId w:val="33"/>
        </w:numPr>
      </w:pPr>
      <w:r>
        <w:rPr/>
        <w:t xml:space="preserve">Classement inférieur à A*3 à 450 Pa : la justification n’est pas recevable.</w:t>
      </w:r>
    </w:p>
    <w:p>
      <w:pPr>
        <w:ind w:left="720" w:right="0"/>
      </w:pPr>
      <w:r>
        <w:rPr>
          <w:rStyle w:val="font_h2"/>
        </w:rPr>
        <w:t xml:space="preserve">8.66. 2025 (10) Intégration des vitrages simples dans les DTA</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7E42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D9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757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13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924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60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087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90D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C95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48E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CA3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B291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ED26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D2C8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D85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068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2D56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4A72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F85B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5ED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355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CDA1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7341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4A87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9974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2026-01-22T04:24:32+01:00</dcterms:created>
  <dcterms:modified xsi:type="dcterms:W3CDTF">2026-01-22T04:24:32+01:00</dcterms:modified>
</cp:coreProperties>
</file>

<file path=docProps/custom.xml><?xml version="1.0" encoding="utf-8"?>
<Properties xmlns="http://schemas.openxmlformats.org/officeDocument/2006/custom-properties" xmlns:vt="http://schemas.openxmlformats.org/officeDocument/2006/docPropsVTypes"/>
</file>