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19/10/2025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coulissante mixte</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mixtes</w:t>
      </w:r>
    </w:p>
    <w:p>
      <w:pPr>
        <w:ind w:left="720" w:right="0"/>
      </w:pPr>
      <w:r>
        <w:rPr>
          <w:rStyle w:val="font_h2"/>
        </w:rPr>
        <w:t xml:space="preserve">2.2.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PVC :</w:t>
      </w:r>
    </w:p>
    <w:p>
      <w:pPr>
        <w:pPr/>
        <w:numPr>
          <w:ilvl w:val="1"/>
          <w:numId w:val="11"/>
        </w:numPr>
      </w:pPr>
      <w:r>
        <w:rPr/>
        <w:t xml:space="preserve">Profilés principaux ;</w:t>
      </w:r>
    </w:p>
    <w:p>
      <w:pPr>
        <w:pPr/>
        <w:numPr>
          <w:ilvl w:val="1"/>
          <w:numId w:val="11"/>
        </w:numPr>
      </w:pPr>
      <w:r>
        <w:rPr/>
        <w:t xml:space="preserve">Profilés complémentaires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aluminium</w:t>
      </w:r>
    </w:p>
    <w:p>
      <w:pPr>
        <w:ind w:left="1440" w:right="0"/>
      </w:pPr>
      <w:r>
        <w:rPr>
          <w:rStyle w:val="font_h3"/>
        </w:rPr>
        <w:t xml:space="preserve">2.3.1. Profilés aluminium à rupture de pont thermique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2"/>
        </w:numPr>
      </w:pPr>
      <w:r>
        <w:rPr/>
        <w:t xml:space="preserve">Profilés aluminium (alliage, nature de la coupure thermique, fabricants) :</w:t>
      </w:r>
    </w:p>
    <w:p>
      <w:pPr>
        <w:pPr/>
        <w:numPr>
          <w:ilvl w:val="1"/>
          <w:numId w:val="12"/>
        </w:numPr>
      </w:pPr>
      <w:r>
        <w:rPr/>
        <w:t xml:space="preserve">Profilés principaux ;</w:t>
      </w:r>
    </w:p>
    <w:p>
      <w:pPr>
        <w:pPr/>
        <w:numPr>
          <w:ilvl w:val="1"/>
          <w:numId w:val="12"/>
        </w:numPr>
      </w:pPr>
      <w:r>
        <w:rPr/>
        <w:t xml:space="preserve">Profilés complémentaires.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r>
        <w:rPr>
          <w:b/>
          <w:bCs/>
        </w:rPr>
        <w:t xml:space="preserve">Illustration</w:t>
      </w:r>
    </w:p>
    <w:p>
      <w:pPr/>
      <w:r>
        <w:rPr/>
        <w:t xml:space="preserve">Présenter sous format AutoCad l'ensemble des profilés à rupture de ponts thermiques.</w:t>
      </w:r>
    </w:p>
    <w:p>
      <w:pPr>
        <w:ind w:left="1440" w:right="0"/>
      </w:pPr>
      <w:r>
        <w:rPr>
          <w:rStyle w:val="font_h3"/>
        </w:rPr>
        <w:t xml:space="preserve">2.3.2. Profilés aluminium</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 nature et fabricants.</w:t>
      </w:r>
    </w:p>
    <w:p>
      <w:pPr/>
      <w:r>
        <w:rPr/>
        <w:t xml:space="preserve">Fournir un dossier de plans illustrant tous les constituants des fenêtres objet de la demande.</w:t>
      </w:r>
    </w:p>
    <w:p>
      <w:pPr>
        <w:ind w:left="720" w:right="0"/>
      </w:pPr>
      <w:r>
        <w:rPr>
          <w:rStyle w:val="font_h2"/>
        </w:rPr>
        <w:t xml:space="preserve">2.4.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2.5. Profilés bois</w:t>
      </w:r>
    </w:p>
    <w:p>
      <w:pPr>
        <w:ind w:left="720" w:right="0"/>
      </w:pPr>
      <w:r>
        <w:rPr>
          <w:rStyle w:val="font_h2"/>
        </w:rPr>
        <w:t xml:space="preserve">2.6. Renforts</w:t>
      </w:r>
    </w:p>
    <w:p>
      <w:pPr>
        <w:ind w:left="720" w:right="0"/>
      </w:pPr>
      <w:r>
        <w:rPr>
          <w:rStyle w:val="font_h2"/>
        </w:rPr>
        <w:t xml:space="preserve">2.7.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2.8.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ind w:left="720" w:right="0"/>
      </w:pPr>
      <w:r>
        <w:rPr>
          <w:rStyle w:val="font_h2"/>
        </w:rPr>
        <w:t xml:space="preserve">2.9.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2.10. Vitrages</w:t>
      </w:r>
    </w:p>
    <w:p>
      <w:pPr/>
      <w:r>
        <w:rPr>
          <w:rStyle w:val="font_h1"/>
        </w:rPr>
        <w:t xml:space="preserve">3. Eléments</w:t>
      </w:r>
    </w:p>
    <w:p>
      <w:pPr>
        <w:ind w:left="720" w:right="0"/>
      </w:pPr>
      <w:r>
        <w:rPr>
          <w:rStyle w:val="font_h2"/>
        </w:rPr>
        <w:t xml:space="preserve">3.1. Cadre dormant</w:t>
      </w:r>
    </w:p>
    <w:p>
      <w:pPr/>
      <w:r>
        <w:rPr/>
        <w:t xml:space="preserve">Validé par le Groupe Spécialisé le 02/01/2018</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t xml:space="preserve">Cf. NF EN 14351-1 +A2 // e-cahier CSTB 3625 // NF DTU 36.5 P1-1 et P1-2 // NF DTU 39 // XP P 20.650.</w:t>
      </w:r>
    </w:p>
    <w:p>
      <w:pPr/>
      <w:r>
        <w:rPr>
          <w:b/>
          <w:bCs/>
        </w:rPr>
        <w:t xml:space="preserve">Justification</w:t>
      </w:r>
    </w:p>
    <w:p>
      <w:pPr/>
      <w:r>
        <w:rPr/>
        <w:t xml:space="preserve">Renseigner au moins les éléments suivants :</w:t>
      </w:r>
    </w:p>
    <w:p>
      <w:pPr>
        <w:pPr/>
        <w:numPr>
          <w:ilvl w:val="0"/>
          <w:numId w:val="13"/>
        </w:numPr>
      </w:pPr>
      <w:r>
        <w:rPr/>
        <w:t xml:space="preserve">Cadre dormant :</w:t>
      </w:r>
    </w:p>
    <w:p>
      <w:pPr>
        <w:pPr/>
        <w:numPr>
          <w:ilvl w:val="1"/>
          <w:numId w:val="13"/>
        </w:numPr>
      </w:pPr>
      <w:r>
        <w:rPr/>
        <w:t xml:space="preserve">Meneaux et traverse;</w:t>
      </w:r>
    </w:p>
    <w:p>
      <w:pPr>
        <w:pPr/>
        <w:numPr>
          <w:ilvl w:val="1"/>
          <w:numId w:val="13"/>
        </w:numPr>
      </w:pPr>
      <w:r>
        <w:rPr/>
        <w:t xml:space="preserve">Drainage ;</w:t>
      </w:r>
    </w:p>
    <w:p>
      <w:pPr>
        <w:pPr/>
        <w:numPr>
          <w:ilvl w:val="1"/>
          <w:numId w:val="13"/>
        </w:numPr>
      </w:pPr>
      <w:r>
        <w:rPr/>
        <w:t xml:space="preserve">Équilibrage de pression ;</w:t>
      </w:r>
    </w:p>
    <w:p>
      <w:pPr>
        <w:pPr/>
        <w:numPr>
          <w:ilvl w:val="1"/>
          <w:numId w:val="13"/>
        </w:numPr>
      </w:pPr>
      <w:r>
        <w:rPr/>
        <w:t xml:space="preserve">Fourrures d'épaisseur ;</w:t>
      </w:r>
    </w:p>
    <w:p>
      <w:pPr>
        <w:pPr/>
        <w:numPr>
          <w:ilvl w:val="1"/>
          <w:numId w:val="13"/>
        </w:numPr>
      </w:pPr>
      <w:r>
        <w:rPr/>
        <w:t xml:space="preserve">Seuil ;</w:t>
      </w:r>
    </w:p>
    <w:p>
      <w:pPr>
        <w:pPr/>
        <w:numPr>
          <w:ilvl w:val="1"/>
          <w:numId w:val="13"/>
        </w:numPr>
      </w:pPr>
      <w:r>
        <w:rPr/>
        <w:t xml:space="preserve">Fixe.</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02/01/2018</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 +A2 // e-cahier CSTB 3625 // NF DTU 36.5 P1-1 et P1-2 // NF DTU 39 // XP P 20.650.</w:t>
      </w:r>
    </w:p>
    <w:p>
      <w:pPr/>
      <w:r>
        <w:rPr>
          <w:b/>
          <w:bCs/>
        </w:rPr>
        <w:t xml:space="preserve">Justification</w:t>
      </w:r>
    </w:p>
    <w:p>
      <w:pPr/>
      <w:r>
        <w:rPr/>
        <w:t xml:space="preserve">Renseigner au moins les éléments suivants: </w:t>
      </w:r>
    </w:p>
    <w:p>
      <w:pPr>
        <w:pPr/>
        <w:numPr>
          <w:ilvl w:val="0"/>
          <w:numId w:val="14"/>
        </w:numPr>
      </w:pPr>
      <w:r>
        <w:rPr/>
        <w:t xml:space="preserve">Cadre ouvrant :</w:t>
      </w:r>
    </w:p>
    <w:p>
      <w:pPr>
        <w:pPr/>
        <w:numPr>
          <w:ilvl w:val="1"/>
          <w:numId w:val="14"/>
        </w:numPr>
      </w:pPr>
      <w:r>
        <w:rPr/>
        <w:t xml:space="preserve">Assemblage des cadres ouvrants bois / aluminium / PVC ;</w:t>
      </w:r>
    </w:p>
    <w:p>
      <w:pPr>
        <w:pPr/>
        <w:numPr>
          <w:ilvl w:val="1"/>
          <w:numId w:val="14"/>
        </w:numPr>
      </w:pPr>
      <w:r>
        <w:rPr/>
        <w:t xml:space="preserve">Battements ;</w:t>
      </w:r>
    </w:p>
    <w:p>
      <w:pPr>
        <w:pPr/>
        <w:numPr>
          <w:ilvl w:val="1"/>
          <w:numId w:val="14"/>
        </w:numPr>
      </w:pPr>
      <w:r>
        <w:rPr/>
        <w:t xml:space="preserve">Rejets d'eau ;</w:t>
      </w:r>
    </w:p>
    <w:p>
      <w:pPr>
        <w:pPr/>
        <w:numPr>
          <w:ilvl w:val="1"/>
          <w:numId w:val="14"/>
        </w:numPr>
      </w:pPr>
      <w:r>
        <w:rPr/>
        <w:t xml:space="preserve">Traverses ;</w:t>
      </w:r>
    </w:p>
    <w:p>
      <w:pPr>
        <w:pPr/>
        <w:numPr>
          <w:ilvl w:val="1"/>
          <w:numId w:val="14"/>
        </w:numPr>
      </w:pPr>
      <w:r>
        <w:rPr/>
        <w:t xml:space="preserve">Renforts ;</w:t>
      </w:r>
    </w:p>
    <w:p>
      <w:pPr>
        <w:pPr/>
        <w:numPr>
          <w:ilvl w:val="1"/>
          <w:numId w:val="14"/>
        </w:numPr>
      </w:pPr>
      <w:r>
        <w:rPr/>
        <w:t xml:space="preserve">Drainage ;</w:t>
      </w:r>
    </w:p>
    <w:p>
      <w:pPr>
        <w:pPr/>
        <w:numPr>
          <w:ilvl w:val="1"/>
          <w:numId w:val="14"/>
        </w:numPr>
      </w:pPr>
      <w:r>
        <w:rPr/>
        <w:t xml:space="preserve">Équilibrage de pression.</w:t>
      </w:r>
    </w:p>
    <w:p>
      <w:pPr/>
      <w:r>
        <w:rPr/>
        <w:t xml:space="preserve">Fournir un dossier de plans illustrant toutes les modalités de fabrication des cadres ouvrants des fenêtres objet de la demande.</w:t>
      </w:r>
    </w:p>
    <w:p>
      <w:pPr>
        <w:ind w:left="720" w:right="0"/>
      </w:pPr>
      <w:r>
        <w:rPr>
          <w:rStyle w:val="font_h2"/>
        </w:rPr>
        <w:t xml:space="preserve">3.3. Ferrage</w:t>
      </w:r>
    </w:p>
    <w:p>
      <w:pPr>
        <w:ind w:left="1440" w:right="0"/>
      </w:pPr>
      <w:r>
        <w:rPr>
          <w:rStyle w:val="font_h3"/>
        </w:rPr>
        <w:t xml:space="preserve">3.3.1. Ouverture à la française</w:t>
      </w:r>
    </w:p>
    <w:p>
      <w:pPr>
        <w:ind w:left="1440" w:right="0"/>
      </w:pPr>
      <w:r>
        <w:rPr>
          <w:rStyle w:val="font_h3"/>
        </w:rPr>
        <w:t xml:space="preserve">3.3.2. Ouverture à soufflet</w:t>
      </w:r>
    </w:p>
    <w:p>
      <w:pPr>
        <w:ind w:left="1440" w:right="0"/>
      </w:pPr>
      <w:r>
        <w:rPr>
          <w:rStyle w:val="font_h3"/>
        </w:rPr>
        <w:t xml:space="preserve">3.3.3. Ouverture oscillo-battant</w:t>
      </w:r>
    </w:p>
    <w:p>
      <w:pPr>
        <w:ind w:left="1440" w:right="0"/>
      </w:pPr>
      <w:r>
        <w:rPr>
          <w:rStyle w:val="font_h3"/>
        </w:rPr>
        <w:t xml:space="preserve">3.3.4. Calage ouvrant</w:t>
      </w:r>
    </w:p>
    <w:p>
      <w:pPr>
        <w:ind w:left="720" w:right="0"/>
      </w:pPr>
      <w:r>
        <w:rPr>
          <w:rStyle w:val="font_h2"/>
        </w:rPr>
        <w:t xml:space="preserve">3.4. Vitrage</w:t>
      </w:r>
    </w:p>
    <w:p>
      <w:pPr>
        <w:ind w:left="1440" w:right="0"/>
      </w:pPr>
      <w:r>
        <w:rPr>
          <w:rStyle w:val="font_h3"/>
        </w:rPr>
        <w:t xml:space="preserve">3.4.1. Généralités</w:t>
      </w:r>
    </w:p>
    <w:p>
      <w:pPr>
        <w:ind w:left="1440" w:right="0"/>
      </w:pPr>
      <w:r>
        <w:rPr>
          <w:rStyle w:val="font_h3"/>
        </w:rPr>
        <w:t xml:space="preserve">3.4.2. Collage vitrage ouvrant</w:t>
      </w:r>
    </w:p>
    <w:p>
      <w:pPr>
        <w:ind w:left="1440" w:right="0"/>
      </w:pPr>
      <w:r>
        <w:rPr>
          <w:rStyle w:val="font_h3"/>
        </w:rPr>
        <w:t xml:space="preserve">3.4.3. Remplacement du vitrage</w:t>
      </w:r>
    </w:p>
    <w:p>
      <w:pPr>
        <w:ind w:left="720" w:right="0"/>
      </w:pPr>
      <w:r>
        <w:rPr>
          <w:rStyle w:val="font_h2"/>
        </w:rPr>
        <w:t xml:space="preserve">3.5.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Profilés PVC</w:t>
      </w:r>
    </w:p>
    <w:p>
      <w:pPr>
        <w:ind w:left="1440" w:right="0"/>
      </w:pPr>
      <w:r>
        <w:rPr>
          <w:rStyle w:val="font_h3"/>
        </w:rPr>
        <w:t xml:space="preserve">4.1.3. Assemblage des profilés alu-PVC</w:t>
      </w:r>
    </w:p>
    <w:p>
      <w:pPr>
        <w:ind w:left="1440" w:right="0"/>
      </w:pPr>
      <w:r>
        <w:rPr>
          <w:rStyle w:val="font_h3"/>
        </w:rPr>
        <w:t xml:space="preserve">4.1.4. Usinage et assemblage des profilés bois</w:t>
      </w:r>
    </w:p>
    <w:p>
      <w:pPr>
        <w:ind w:left="1440" w:right="0"/>
      </w:pPr>
      <w:r>
        <w:rPr>
          <w:rStyle w:val="font_h3"/>
        </w:rPr>
        <w:t xml:space="preserve">4.1.5. Placage bois</w:t>
      </w:r>
    </w:p>
    <w:p>
      <w:pPr>
        <w:ind w:left="720" w:right="0"/>
      </w:pPr>
      <w:r>
        <w:rPr>
          <w:rStyle w:val="font_h2"/>
        </w:rPr>
        <w:t xml:space="preserve">4.2. Assemblage des fenêtres</w:t>
      </w:r>
    </w:p>
    <w:p>
      <w:pPr>
        <w:ind w:left="720" w:right="0"/>
      </w:pPr>
      <w:r>
        <w:rPr>
          <w:rStyle w:val="font_h2"/>
        </w:rPr>
        <w:t xml:space="preserve">4.3. Autocontrole</w:t>
      </w:r>
    </w:p>
    <w:p>
      <w:pPr>
        <w:ind w:left="1440" w:right="0"/>
      </w:pPr>
      <w:r>
        <w:rPr>
          <w:rStyle w:val="font_h3"/>
        </w:rPr>
        <w:t xml:space="preserve">4.3.1. Profilés aluminium</w:t>
      </w:r>
    </w:p>
    <w:p>
      <w:pPr>
        <w:ind w:left="1440" w:right="0"/>
      </w:pPr>
      <w:r>
        <w:rPr>
          <w:rStyle w:val="font_h3"/>
        </w:rPr>
        <w:t xml:space="preserve">4.3.2. Profilés PVC</w:t>
      </w:r>
    </w:p>
    <w:p>
      <w:pPr>
        <w:ind w:left="1440" w:right="0"/>
      </w:pPr>
      <w:r>
        <w:rPr>
          <w:rStyle w:val="font_h3"/>
        </w:rPr>
        <w:t xml:space="preserve">4.3.3. Assemblage profilés alu-PVC</w:t>
      </w:r>
    </w:p>
    <w:p>
      <w:pPr>
        <w:ind w:left="1440" w:right="0"/>
      </w:pPr>
      <w:r>
        <w:rPr>
          <w:rStyle w:val="font_h3"/>
        </w:rPr>
        <w:t xml:space="preserve">4.3.4. Cadre bois</w:t>
      </w:r>
    </w:p>
    <w:p>
      <w:pPr>
        <w:ind w:left="1440" w:right="0"/>
      </w:pPr>
      <w:r>
        <w:rPr>
          <w:rStyle w:val="font_h3"/>
        </w:rPr>
        <w:t xml:space="preserve">4.3.5. Placage bois</w:t>
      </w:r>
    </w:p>
    <w:p>
      <w:pPr>
        <w:ind w:left="1440" w:right="0"/>
      </w:pPr>
      <w:r>
        <w:rPr>
          <w:rStyle w:val="font_h3"/>
        </w:rPr>
        <w:t xml:space="preserve">4.3.6. Collage vitrage</w:t>
      </w:r>
    </w:p>
    <w:p>
      <w:pPr/>
      <w:r>
        <w:rPr>
          <w:rStyle w:val="font_h1"/>
        </w:rPr>
        <w:t xml:space="preserve">5. Mise en œuvre</w:t>
      </w:r>
    </w:p>
    <w:p>
      <w:pPr>
        <w:ind w:left="720" w:right="0"/>
      </w:pPr>
      <w:r>
        <w:rPr>
          <w:rStyle w:val="font_h2"/>
        </w:rPr>
        <w:t xml:space="preserve">5.1. Mise en œuvre</w:t>
      </w:r>
    </w:p>
    <w:p>
      <w:pPr/>
      <w:r>
        <w:rPr/>
        <w:t xml:space="preserve">Validé par le Groupe Spécialisé le 02/01/2018</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 e-cahier CSTB 3521 et 3709.V2.</w:t>
      </w:r>
    </w:p>
    <w:p>
      <w:pPr/>
      <w:r>
        <w:rPr>
          <w:b/>
          <w:bCs/>
        </w:rPr>
        <w:t xml:space="preserve">Justification</w:t>
      </w:r>
    </w:p>
    <w:p>
      <w:pPr/>
      <w:r>
        <w:rPr/>
        <w:t xml:space="preserve">Fournir un dossier de plans illustrant toutes les modalités de mise en oeuvre des fenêtres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02/01/2018</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3709.V2.</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02/01/2018</w:t>
      </w:r>
    </w:p>
    <w:p>
      <w:pPr/>
      <w:r>
        <w:rPr>
          <w:b/>
          <w:bCs/>
        </w:rPr>
        <w:t xml:space="preserve">Description</w:t>
      </w:r>
    </w:p>
    <w:p>
      <w:pPr/>
      <w:r>
        <w:rPr/>
        <w:t xml:space="preserve">Fournir copie des rapports d’essais de toute nature, en laboratoire ou in situ, sur les constituants ou sur les fenêtres identifiés pouvant apporter justification de l’aptitude à l’emploi du système évalué.</w:t>
      </w:r>
    </w:p>
    <w:p>
      <w:pPr>
        <w:pPr/>
        <w:numPr>
          <w:ilvl w:val="0"/>
          <w:numId w:val="15"/>
        </w:numPr>
      </w:pPr>
      <w:r>
        <w:rPr/>
        <w:t xml:space="preserve">Sur les constituants :</w:t>
      </w:r>
    </w:p>
    <w:p>
      <w:pPr>
        <w:pPr/>
        <w:numPr>
          <w:ilvl w:val="1"/>
          <w:numId w:val="15"/>
        </w:numPr>
      </w:pPr>
      <w:r>
        <w:rPr>
          <w:i/>
          <w:iCs/>
        </w:rPr>
        <w:t xml:space="preserve">profilés PVC (Cf NF EN 12 608 + référentiel NF 126) ;</w:t>
      </w:r>
    </w:p>
    <w:p>
      <w:pPr>
        <w:pPr/>
        <w:numPr>
          <w:ilvl w:val="1"/>
          <w:numId w:val="15"/>
        </w:numPr>
      </w:pPr>
      <w:r>
        <w:rPr>
          <w:i/>
          <w:iCs/>
        </w:rPr>
        <w:t xml:space="preserve">profilés aluminium RPT (Cf NF EN 14 024 + référentiel NF 252) ;</w:t>
      </w:r>
    </w:p>
    <w:p>
      <w:pPr>
        <w:pPr/>
        <w:numPr>
          <w:ilvl w:val="1"/>
          <w:numId w:val="15"/>
        </w:numPr>
      </w:pPr>
      <w:r>
        <w:rPr>
          <w:i/>
          <w:iCs/>
        </w:rPr>
        <w:t xml:space="preserve">profilés complémentaires en PVC (Fournir la composition vinylique et un engagement par écrit, sur papier entête du fabricant, de conformité aux spécifications de durabilité de la norme NF T 54 405-1 ou de la norme NF EN 12 608 avec en appui de cet engagement les justifications expérimentales (Engagement non nécessaire si la composition matière est homologuée au CSTB)) ;</w:t>
      </w:r>
    </w:p>
    <w:p>
      <w:pPr>
        <w:pPr/>
        <w:numPr>
          <w:ilvl w:val="1"/>
          <w:numId w:val="15"/>
        </w:numPr>
      </w:pPr>
      <w:r>
        <w:rPr>
          <w:i/>
          <w:iCs/>
        </w:rPr>
        <w:t xml:space="preserve">garnitures d’étanchéité (Pour la partie active des profilés (hormis ceux en EPDM) qui assurent une fonction d’étanchéité, leur composition matière doit être conforme au référentiel de certification n°QB36.) ;</w:t>
      </w:r>
    </w:p>
    <w:p>
      <w:pPr>
        <w:pPr/>
        <w:numPr>
          <w:ilvl w:val="1"/>
          <w:numId w:val="15"/>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5"/>
        </w:numPr>
      </w:pPr>
      <w:r>
        <w:rPr>
          <w:i/>
          <w:iCs/>
        </w:rPr>
        <w:t xml:space="preserve">vitrages (Ils doivent bénéficier d’un certificat de qualification.).</w:t>
      </w:r>
    </w:p>
    <w:p>
      <w:pPr>
        <w:pPr/>
        <w:numPr>
          <w:ilvl w:val="0"/>
          <w:numId w:val="15"/>
        </w:numPr>
      </w:pPr>
      <w:r>
        <w:rPr/>
        <w:t xml:space="preserve">Sur les fenêtres :</w:t>
      </w:r>
    </w:p>
    <w:p>
      <w:pPr>
        <w:pPr/>
        <w:numPr>
          <w:ilvl w:val="1"/>
          <w:numId w:val="15"/>
        </w:numPr>
      </w:pPr>
      <w:r>
        <w:rPr>
          <w:i/>
          <w:iCs/>
        </w:rPr>
        <w:t xml:space="preserve">fournir copie des essais AEV, mécaniques spécifiques et endurance à l’ouverture/fermeture réalisés (Cf e-cahier 3706, NF EN 14351-1 + A1+A2, NF P 20-501, NF P20-302. NB : performances minimum demandées A2 E5A (ou E5B)VA2.) ;</w:t>
      </w:r>
    </w:p>
    <w:p>
      <w:pPr>
        <w:pPr/>
        <w:numPr>
          <w:ilvl w:val="1"/>
          <w:numId w:val="15"/>
        </w:numPr>
      </w:pPr>
      <w:r>
        <w:rPr>
          <w:i/>
          <w:iCs/>
        </w:rPr>
        <w:t xml:space="preserve">fournir copie des essais de perméabilité à l’air sous GRD de T° (si concerné) (Cf NF DTU 36.5 P2 – Annexe A) ;</w:t>
      </w:r>
    </w:p>
    <w:p>
      <w:pPr>
        <w:pPr/>
        <w:numPr>
          <w:ilvl w:val="1"/>
          <w:numId w:val="15"/>
        </w:numPr>
      </w:pPr>
      <w:r>
        <w:rPr>
          <w:i/>
          <w:iCs/>
        </w:rPr>
        <w:t xml:space="preserve">fournir les calculs thermiques (Cf Règles Th U RT2012) ;</w:t>
      </w:r>
    </w:p>
    <w:p>
      <w:pPr>
        <w:pPr/>
        <w:numPr>
          <w:ilvl w:val="1"/>
          <w:numId w:val="15"/>
        </w:numPr>
      </w:pPr>
      <w:r>
        <w:rPr>
          <w:i/>
          <w:iCs/>
        </w:rPr>
        <w:t xml:space="preserve">fournir les dispositions pour l’intégration d’entrée d’air (Cf e-cahier 3376).</w:t>
      </w:r>
    </w:p>
    <w:p>
      <w:pPr/>
      <w:r>
        <w:rPr/>
        <w:t xml:space="preserve">Fournir copie de rapport d’essais sur produit de calfeutrement ayant fait l’objet d’essais satisfaisants de compatibilité – cohésion/adhésion sur les profilés et accessoires en contact </w:t>
      </w:r>
      <w:r>
        <w:rPr>
          <w:i/>
          <w:iCs/>
        </w:rPr>
        <w:t xml:space="preserve">(CF NF P 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6"/>
        </w:numPr>
      </w:pPr>
      <w:r>
        <w:rPr/>
        <w:t xml:space="preserve">localiser et préciser les situations de pose ;</w:t>
      </w:r>
    </w:p>
    <w:p>
      <w:pPr>
        <w:pPr/>
        <w:numPr>
          <w:ilvl w:val="0"/>
          <w:numId w:val="16"/>
        </w:numPr>
      </w:pPr>
      <w:r>
        <w:rPr/>
        <w:t xml:space="preserve">identifier les types de menuiseries ;</w:t>
      </w:r>
    </w:p>
    <w:p>
      <w:pPr>
        <w:pPr/>
        <w:numPr>
          <w:ilvl w:val="0"/>
          <w:numId w:val="16"/>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8.2.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8.3.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7"/>
        </w:numPr>
      </w:pPr>
      <w:r>
        <w:rPr/>
        <w:t xml:space="preserve">difficulté de connaitre vraiment l’état des pattes de fixation,</w:t>
      </w:r>
    </w:p>
    <w:p>
      <w:pPr>
        <w:pPr/>
        <w:numPr>
          <w:ilvl w:val="0"/>
          <w:numId w:val="17"/>
        </w:numPr>
      </w:pPr>
      <w:r>
        <w:rPr/>
        <w:t xml:space="preserve">solution thermiquement très difficile à réaliser correctement vis-à-vis de la liaison entre le nouveau et l’ancien dormant,</w:t>
      </w:r>
    </w:p>
    <w:p>
      <w:pPr>
        <w:pPr/>
        <w:numPr>
          <w:ilvl w:val="0"/>
          <w:numId w:val="17"/>
        </w:numPr>
      </w:pPr>
      <w:r>
        <w:rPr/>
        <w:t xml:space="preserve">connaissance très difficile des matières PVC des anciens dormants et de leur état de conservation,</w:t>
      </w:r>
    </w:p>
    <w:p>
      <w:pPr>
        <w:pPr/>
        <w:numPr>
          <w:ilvl w:val="0"/>
          <w:numId w:val="17"/>
        </w:numPr>
      </w:pPr>
      <w:r>
        <w:rPr/>
        <w:t xml:space="preserve">compatibilité de ces matières avec les mastics de calfeutrement à utiliser,</w:t>
      </w:r>
    </w:p>
    <w:p>
      <w:pPr>
        <w:pPr/>
        <w:numPr>
          <w:ilvl w:val="0"/>
          <w:numId w:val="17"/>
        </w:numPr>
      </w:pPr>
      <w:r>
        <w:rPr/>
        <w:t xml:space="preserve">difficulté pour conserver le clair de vitrage.</w:t>
      </w:r>
    </w:p>
    <w:p>
      <w:pPr>
        <w:ind w:left="720" w:right="0"/>
      </w:pPr>
      <w:r>
        <w:rPr>
          <w:rStyle w:val="font_h2"/>
        </w:rPr>
        <w:t xml:space="preserve">8.5. 2017 (10) Recouvrement minimum en cas de pose ITE</w:t>
      </w:r>
    </w:p>
    <w:p>
      <w:pPr/>
      <w:r>
        <w:rPr/>
        <w:t xml:space="preserve">Validé par le Groupe Spécialisé le 02/01/2018</w:t>
      </w:r>
    </w:p>
    <w:p>
      <w:pPr/>
      <w:r>
        <w:rPr>
          <w:b/>
          <w:bCs/>
        </w:rPr>
        <w:t xml:space="preserve">Description</w:t>
      </w:r>
    </w:p>
    <w:p>
      <w:pPr/>
      <w:r>
        <w:rPr/>
        <w:t xml:space="preserve">Recouvrement minimum en cas de pose ITE :</w:t>
      </w:r>
    </w:p>
    <w:p>
      <w:pPr/>
      <w:r>
        <w:rPr/>
        <w:t xml:space="preserve">Dans le cas d'une pose de fenêtres en applique extérieure avec une ITE, la largeur disponible sur le dormant vis-à-vis du gros oeuvre doit être au minimum de 28mm. Il conviendra de vérifier que les dormants et autres fourrures d'épaisseurs permettent de satisfaire cette exigence.</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Mise en œuvre ITE : 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8.8. 2017 (12) Opportunité de suivi de la qualité en usine des seuils PMR</w:t>
      </w:r>
    </w:p>
    <w:p>
      <w:pPr/>
      <w:r>
        <w:rPr/>
        <w:t xml:space="preserve">Validé par le Groupe Spécialisé le 02/01/2018</w:t>
      </w:r>
    </w:p>
    <w:p>
      <w:pPr/>
      <w:r>
        <w:rPr>
          <w:b/>
          <w:bCs/>
        </w:rPr>
        <w:t xml:space="preserve">Description</w:t>
      </w:r>
    </w:p>
    <w:p>
      <w:pPr/>
      <w:r>
        <w:rPr/>
        <w:t xml:space="preserve">Opportunité de suivi de la qualité en usine des seuils PMR :Le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8.9. 2018 (03) Risques de propagation du feu par la façade dans le cas des fenêtres mises en œuvre en applique extérieure</w:t>
      </w:r>
    </w:p>
    <w:p>
      <w:pPr/>
      <w:r>
        <w:rPr/>
        <w:t xml:space="preserve">Validé par le Groupe Spécialisé le 15/03/2018</w:t>
      </w:r>
    </w:p>
    <w:p>
      <w:pPr/>
      <w:r>
        <w:rPr>
          <w:b/>
          <w:bCs/>
        </w:rPr>
        <w:t xml:space="preserve">Description</w:t>
      </w:r>
    </w:p>
    <w:p>
      <w:pPr/>
      <w:r>
        <w:rPr/>
        <w:t xml:space="preserve">Risques de propagation du feu par la façade dans le cas des fenêtres mises en œuvre en applique extérieure : 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8.10. 2018 (03) RUP et TOM</w:t>
      </w:r>
    </w:p>
    <w:p>
      <w:pPr/>
      <w:r>
        <w:rPr/>
        <w:t xml:space="preserve">Validé par le Groupe Spécialisé le 15/03/2018</w:t>
      </w:r>
    </w:p>
    <w:p>
      <w:pPr/>
      <w:r>
        <w:rPr>
          <w:b/>
          <w:bCs/>
        </w:rPr>
        <w:t xml:space="preserve">Description</w:t>
      </w:r>
    </w:p>
    <w:p>
      <w:pPr/>
      <w:r>
        <w:rPr/>
        <w:t xml:space="preserve">RUP et TOM :Le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8.11.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 Il conviendra de publier les plans de mise en œuvre dans le cas suivant :</w:t>
      </w:r>
    </w:p>
    <w:p>
      <w:pPr>
        <w:pPr/>
        <w:numPr>
          <w:ilvl w:val="0"/>
          <w:numId w:val="18"/>
        </w:numPr>
      </w:pPr>
      <w:r>
        <w:rPr/>
        <w:t xml:space="preserve">Un profilé complémentaire est nécessaire afin de réaliser une zone de calfeutrement d'au moins 10 mm</w:t>
      </w:r>
    </w:p>
    <w:p>
      <w:pPr>
        <w:ind w:left="720" w:right="0"/>
      </w:pPr>
      <w:r>
        <w:rPr>
          <w:rStyle w:val="font_h2"/>
        </w:rPr>
        <w:t xml:space="preserve">8.12.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19"/>
        </w:numPr>
      </w:pPr>
      <w:r>
        <w:rPr/>
        <w:t xml:space="preserve">Seuils aluminium sans rupteur thermique</w:t>
      </w:r>
    </w:p>
    <w:p>
      <w:pPr>
        <w:pPr/>
        <w:numPr>
          <w:ilvl w:val="0"/>
          <w:numId w:val="19"/>
        </w:numPr>
      </w:pPr>
      <w:r>
        <w:rPr/>
        <w:t xml:space="preserve">Chicanes de coulissant sans rupteur thermique</w:t>
      </w:r>
    </w:p>
    <w:p>
      <w:pPr>
        <w:pPr/>
        <w:numPr>
          <w:ilvl w:val="0"/>
          <w:numId w:val="19"/>
        </w:numPr>
      </w:pPr>
      <w:r>
        <w:rPr/>
        <w:t xml:space="preserve">Poignée de manœuvre traversante sans rupteur thermique</w:t>
      </w:r>
    </w:p>
    <w:p>
      <w:pPr>
        <w:pPr/>
        <w:numPr>
          <w:ilvl w:val="0"/>
          <w:numId w:val="19"/>
        </w:numPr>
      </w:pPr>
      <w:r>
        <w:rPr/>
        <w:t xml:space="preserve">Profilé d'ouvrant sans rupteur thermique en contact directe avec le battement extérieur métallique</w:t>
      </w:r>
    </w:p>
    <w:p>
      <w:pPr>
        <w:pPr/>
        <w:numPr>
          <w:ilvl w:val="0"/>
          <w:numId w:val="19"/>
        </w:numPr>
      </w:pPr>
      <w:r>
        <w:rPr/>
        <w:t xml:space="preserve">Profilé de coffre traversant sans rupteur thermique</w:t>
      </w:r>
    </w:p>
    <w:p>
      <w:pPr>
        <w:ind w:left="720" w:right="0"/>
      </w:pPr>
      <w:r>
        <w:rPr>
          <w:rStyle w:val="font_h2"/>
        </w:rPr>
        <w:t xml:space="preserve">8.13.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8.14.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8.15.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8.16.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8.17.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8.18.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8.19. 2020 (02) Prise en compte de la déformation des planchers béton</w:t>
      </w:r>
    </w:p>
    <w:p>
      <w:pPr/>
      <w:r>
        <w:rPr/>
        <w:t xml:space="preserve">Validé par le Groupe Spécialisé le 25/06/2020</w:t>
      </w:r>
    </w:p>
    <w:p>
      <w:pPr/>
      <w:r>
        <w:rPr>
          <w:b/>
          <w:bCs/>
        </w:rPr>
        <w:t xml:space="preserve">Description</w:t>
      </w:r>
    </w:p>
    <w:p>
      <w:pPr/>
      <w:r>
        <w:rPr/>
        <w:t xml:space="preserve">Pour les systèmes coulissants supérieurs à 4 m de largeur, il conviendra :</w:t>
      </w:r>
    </w:p>
    <w:p>
      <w:pPr>
        <w:pPr/>
        <w:numPr>
          <w:ilvl w:val="0"/>
          <w:numId w:val="20"/>
        </w:numPr>
      </w:pPr>
      <w:r>
        <w:rPr/>
        <w:t xml:space="preserve">soit de justifier que la déformation des planchers haut et bas est inférieure ou égale à 1 mm, le plancher est alors considéré comme « infiniment » rigide ;</w:t>
      </w:r>
    </w:p>
    <w:p>
      <w:pPr>
        <w:pPr/>
        <w:numPr>
          <w:ilvl w:val="0"/>
          <w:numId w:val="20"/>
        </w:numPr>
      </w:pPr>
      <w:r>
        <w:rPr/>
        <w:t xml:space="preserve">soit de mener une étude et de donner un recouvrement minimum.</w:t>
      </w:r>
    </w:p>
    <w:p>
      <w:pPr/>
      <w:r>
        <w:rPr/>
        <w:t xml:space="preserve">Ces informations seront inscrites dans les paragraphes domaine d’emploi, prescriptions techniques et remarques complémentaires du GS.</w:t>
      </w:r>
    </w:p>
    <w:p>
      <w:pPr>
        <w:ind w:left="720" w:right="0"/>
      </w:pPr>
      <w:r>
        <w:rPr>
          <w:rStyle w:val="font_h2"/>
        </w:rPr>
        <w:t xml:space="preserve">8.20.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1"/>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1"/>
        </w:numPr>
      </w:pPr>
      <w:r>
        <w:rPr/>
        <w:t xml:space="preserve">Suppression des tableaux thermiques renvoyés vers le rapport de calculs thermiques attestés conformes au DTA, cité au paragraphe B Résultats expérimentaux.</w:t>
      </w:r>
    </w:p>
    <w:p>
      <w:pPr>
        <w:pPr/>
        <w:numPr>
          <w:ilvl w:val="0"/>
          <w:numId w:val="21"/>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1"/>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2"/>
        </w:numPr>
      </w:pPr>
      <w:r>
        <w:rPr/>
        <w:t xml:space="preserve">Profilés PVC : suppression du lieu d’extrusion dans le cas des profilés NF126 ;</w:t>
      </w:r>
    </w:p>
    <w:p>
      <w:pPr>
        <w:pPr/>
        <w:numPr>
          <w:ilvl w:val="0"/>
          <w:numId w:val="22"/>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8.21.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3"/>
        </w:numPr>
      </w:pPr>
      <w:r>
        <w:rPr/>
        <w:t xml:space="preserve">la pièce 3D soit géométriquement identique à la pièce finale,</w:t>
      </w:r>
    </w:p>
    <w:p>
      <w:pPr>
        <w:pPr/>
        <w:numPr>
          <w:ilvl w:val="0"/>
          <w:numId w:val="23"/>
        </w:numPr>
      </w:pPr>
      <w:r>
        <w:rPr/>
        <w:t xml:space="preserve">une date de mise à disposition de la pièce finale soit arrêtée,</w:t>
      </w:r>
    </w:p>
    <w:p>
      <w:pPr>
        <w:pPr/>
        <w:numPr>
          <w:ilvl w:val="0"/>
          <w:numId w:val="23"/>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8.22.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8.23. 2020 (09) Condition d'extension des dimensions pour les fenêtres coulissantes certifiées</w:t>
      </w:r>
    </w:p>
    <w:p>
      <w:pPr/>
      <w:r>
        <w:rPr/>
        <w:t xml:space="preserve">Validé par le Groupe Spécialisé le 29/10/2020</w:t>
      </w:r>
    </w:p>
    <w:p>
      <w:pPr/>
      <w:r>
        <w:rPr>
          <w:b/>
          <w:bCs/>
        </w:rPr>
        <w:t xml:space="preserve">Description</w:t>
      </w:r>
    </w:p>
    <w:p>
      <w:pPr/>
      <w:r>
        <w:rPr/>
        <w:t xml:space="preserve">Les conditions d’extension des dimensions des fenêtres coulissantes certifiées évoluent de la manière suivante :</w:t>
      </w:r>
    </w:p>
    <w:p>
      <w:pPr>
        <w:pPr/>
        <w:numPr>
          <w:ilvl w:val="0"/>
          <w:numId w:val="24"/>
        </w:numPr>
      </w:pPr>
      <w:r>
        <w:rPr/>
        <w:t xml:space="preserve">Pour la largeur : extension possible dans le cadre de la certification ;</w:t>
      </w:r>
    </w:p>
    <w:p>
      <w:pPr>
        <w:pPr/>
        <w:numPr>
          <w:ilvl w:val="0"/>
          <w:numId w:val="24"/>
        </w:numPr>
      </w:pPr>
      <w:r>
        <w:rPr/>
        <w:t xml:space="preserve">Pour la hauteur : extension possible uniquement le cadre du DTA.</w:t>
      </w:r>
    </w:p>
    <w:p>
      <w:pPr>
        <w:ind w:left="720" w:right="0"/>
      </w:pPr>
      <w:r>
        <w:rPr>
          <w:rStyle w:val="font_h2"/>
        </w:rPr>
        <w:t xml:space="preserve">8.24. 2020 (10) Spécification des valeurs de sertissage dans le cas des montants latéraux d’ouvrants de coulissants en aluminium RPT de type O</w:t>
      </w:r>
    </w:p>
    <w:p>
      <w:pPr/>
      <w:r>
        <w:rPr/>
        <w:t xml:space="preserve">Validé par le Groupe Spécialisé le 10/12/2020</w:t>
      </w:r>
    </w:p>
    <w:p>
      <w:pPr/>
      <w:r>
        <w:rPr>
          <w:b/>
          <w:bCs/>
        </w:rPr>
        <w:t xml:space="preserve">Description</w:t>
      </w:r>
    </w:p>
    <w:p>
      <w:pPr/>
      <w:r>
        <w:rPr/>
        <w:t xml:space="preserve">Pour ces profilés, des valeurs minimales et maximales de sertissages devront être déclarées par le demandeur. Elles seront vérifiées à l’issu de l’essai d’ensoleillement. Ces valeurs seront alors indiquées dans le certificat QB49 ou à défaut dans le DTA.</w:t>
      </w:r>
    </w:p>
    <w:p>
      <w:pPr>
        <w:ind w:left="720" w:right="0"/>
      </w:pPr>
      <w:r>
        <w:rPr>
          <w:rStyle w:val="font_h2"/>
        </w:rPr>
        <w:t xml:space="preserve">8.25. 2020 (10) Charge maximum des chariots dans le cas des fenêtres coulissantes</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8.26.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5"/>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5"/>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8.27.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8.28. 2020 (12) Coulissant mis en œuvre sur ossature bois</w:t>
      </w:r>
    </w:p>
    <w:p>
      <w:pPr/>
      <w:r>
        <w:rPr/>
        <w:t xml:space="preserve">Validé par le Groupe Spécialisé le 04/02/2021</w:t>
      </w:r>
    </w:p>
    <w:p>
      <w:pPr/>
      <w:r>
        <w:rPr>
          <w:b/>
          <w:bCs/>
        </w:rPr>
        <w:t xml:space="preserve">Description</w:t>
      </w:r>
    </w:p>
    <w:p>
      <w:pPr/>
      <w:r>
        <w:rPr/>
        <w:t xml:space="preserve">Les systèmes de fenêtre coulissant dont le domaine d'emploi prévoit la pose sur ossature bois doivent justifier de la compatibilité de leur système avec les déformations du gros œuvre inhérentes à l'ossature bois. Notamment en ce qui concerne le recouvrement du dormant par les ouvrants, afin de palier à tout risque de déchaussement des ouvrants ou de difficultés de fonctionnement.</w:t>
      </w:r>
    </w:p>
    <w:p>
      <w:pPr>
        <w:ind w:left="720" w:right="0"/>
      </w:pPr>
      <w:r>
        <w:rPr>
          <w:rStyle w:val="font_h2"/>
        </w:rPr>
        <w:t xml:space="preserve">8.29.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8.30.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8.31.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8.32. 2021 (03) Mise en œuvre des coulissants en rénovation sur dormant existant</w:t>
      </w:r>
    </w:p>
    <w:p>
      <w:pPr/>
      <w:r>
        <w:rPr/>
        <w:t xml:space="preserve">Validé par le Groupe Spécialisé le 06/05/2021</w:t>
      </w:r>
    </w:p>
    <w:p>
      <w:pPr/>
      <w:r>
        <w:rPr>
          <w:b/>
          <w:bCs/>
        </w:rPr>
        <w:t xml:space="preserve">Description</w:t>
      </w:r>
    </w:p>
    <w:p>
      <w:pPr/>
      <w:r>
        <w:rPr/>
        <w:t xml:space="preserve">Lorsque le domaine d’emploi d’un système de coulissant prévoit la pose en rénovation sur dormant existant, un plan de mise en œuvre sur dormant bois de 48 mm d’épaisseur (et non plus 36 mm) sera demandé.Le domaine d’emploi des DTA concernés précisera cette épaisseur minimum de 48mm</w:t>
      </w:r>
    </w:p>
    <w:p>
      <w:pPr>
        <w:ind w:left="720" w:right="0"/>
      </w:pPr>
      <w:r>
        <w:rPr>
          <w:rStyle w:val="font_h2"/>
        </w:rPr>
        <w:t xml:space="preserve">8.33.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8.34.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6"/>
        </w:numPr>
      </w:pPr>
      <w:r>
        <w:rPr/>
        <w:t xml:space="preserve">Vis inox A2 pour la fixation d’éléments démontables.</w:t>
      </w:r>
    </w:p>
    <w:p>
      <w:pPr>
        <w:pPr/>
        <w:numPr>
          <w:ilvl w:val="0"/>
          <w:numId w:val="26"/>
        </w:numPr>
      </w:pPr>
      <w:r>
        <w:rPr/>
        <w:t xml:space="preserve">Vis zinguées de classe 4 selon la norme EN 1670 pour les éléments non démontables.</w:t>
      </w:r>
    </w:p>
    <w:p>
      <w:pPr>
        <w:ind w:left="720" w:right="0"/>
      </w:pPr>
      <w:r>
        <w:rPr>
          <w:rStyle w:val="font_h2"/>
        </w:rPr>
        <w:t xml:space="preserve">8.35. 2021 (05) Coulissant mis en œuvre sur ossature bois</w:t>
      </w:r>
    </w:p>
    <w:p>
      <w:pPr/>
      <w:r>
        <w:rPr/>
        <w:t xml:space="preserve">Validé par le Groupe Spécialisé le 17/06/2021</w:t>
      </w:r>
    </w:p>
    <w:p>
      <w:pPr/>
      <w:r>
        <w:rPr>
          <w:b/>
          <w:bCs/>
        </w:rPr>
        <w:t xml:space="preserve">Description</w:t>
      </w:r>
    </w:p>
    <w:p>
      <w:pPr/>
      <w:r>
        <w:rPr/>
        <w:t xml:space="preserve">La jurisprudence 2020 (12) « Coulissants mis en œuvre en ossature bois » concernant l’obligation de justifier la compatibilité des systèmes avec les déformations du gros œuvre inhérentes à l'ossature bois est annulée.</w:t>
      </w:r>
    </w:p>
    <w:p>
      <w:pPr/>
      <w:r>
        <w:rPr/>
        <w:t xml:space="preserve">Les dossiers ayant eu une limitation du domaine d’emploi suite à cette jurisprudence vont être révisés d’office afin de lever cette limitation. Une proposition sera faite pour le prochain GS6 quant aux déformations acceptables et/ou aux justifications à apporter dans le cas de pose d'une fenêtre sur ossature bois.</w:t>
      </w:r>
    </w:p>
    <w:p>
      <w:pPr>
        <w:ind w:left="720" w:right="0"/>
      </w:pPr>
      <w:r>
        <w:rPr>
          <w:rStyle w:val="font_h2"/>
        </w:rPr>
        <w:t xml:space="preserve">8.36.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8.37.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8.38.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8.39.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7"/>
        </w:numPr>
      </w:pPr>
      <w:r>
        <w:rPr/>
        <w:t xml:space="preserve">label Qualimarine avec alliage qualité bâtiment selon définition du DTU 33.1 ;</w:t>
      </w:r>
    </w:p>
    <w:p>
      <w:pPr/>
      <w:r>
        <w:rPr/>
        <w:t xml:space="preserve">ou bien</w:t>
      </w:r>
    </w:p>
    <w:p>
      <w:pPr>
        <w:pPr/>
        <w:numPr>
          <w:ilvl w:val="0"/>
          <w:numId w:val="28"/>
        </w:numPr>
      </w:pPr>
      <w:r>
        <w:rPr/>
        <w:t xml:space="preserve">label Qualicoat Seaside AA1 ou AA2 minimum avec alliage qualité bâtiment selon définition du DTU 33.1.</w:t>
      </w:r>
    </w:p>
    <w:p>
      <w:pPr>
        <w:ind w:left="720" w:right="0"/>
      </w:pPr>
      <w:r>
        <w:rPr>
          <w:rStyle w:val="font_h2"/>
        </w:rPr>
        <w:t xml:space="preserve">8.40.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8.41.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8.42. 2022 (03) Condition d'extension des dimensions pour les fenêtres coulissantes certifiées</w:t>
      </w:r>
    </w:p>
    <w:p>
      <w:pPr/>
      <w:r>
        <w:rPr/>
        <w:t xml:space="preserve">Validé par le Groupe Spécialisé le 13/04/2022</w:t>
      </w:r>
    </w:p>
    <w:p>
      <w:pPr/>
      <w:r>
        <w:rPr>
          <w:b/>
          <w:bCs/>
        </w:rPr>
        <w:t xml:space="preserve">Description</w:t>
      </w:r>
    </w:p>
    <w:p>
      <w:pPr/>
      <w:r>
        <w:rPr/>
        <w:t xml:space="preserve">En complément de la jurisprudence 2020 (02) Prise en compte de la déformation des planchers béton : « Pour les systèmes coulissants supérieurs à 4 m de largeur, il conviendra :</w:t>
      </w:r>
    </w:p>
    <w:p>
      <w:pPr>
        <w:pPr/>
        <w:numPr>
          <w:ilvl w:val="0"/>
          <w:numId w:val="29"/>
        </w:numPr>
      </w:pPr>
      <w:r>
        <w:rPr/>
        <w:t xml:space="preserve">Soit de justifier que la déformation des planchers haut et bas est inférieure ou égale à 1 mm, le plancher est alors considéré comme « infiniment » rigide.</w:t>
      </w:r>
    </w:p>
    <w:p>
      <w:pPr>
        <w:pPr/>
        <w:numPr>
          <w:ilvl w:val="0"/>
          <w:numId w:val="29"/>
        </w:numPr>
      </w:pPr>
      <w:r>
        <w:rPr/>
        <w:t xml:space="preserve">Soit de mener une étude et de donner un recouvrement minimum qui sera inscrit dans les paragraphes domaine d’emploi, prescriptions techniques et remarques complémentaires du GS. ».</w:t>
      </w:r>
    </w:p>
    <w:p>
      <w:pPr/>
      <w:r>
        <w:rPr/>
        <w:t xml:space="preserve">Il sera indiqué dans les DTA « Pour les fabrications certifiées, des dimensions supérieures peuvent être envisagées (il y aura lieu d'apporter des justifications spécifiques dans le cadre du DTA pour tenir compte de la déformation du gros œuvre et de la sécurité au-delà de 4 m de largeur). ».</w:t>
      </w:r>
    </w:p>
    <w:p>
      <w:pPr>
        <w:ind w:left="720" w:right="0"/>
      </w:pPr>
      <w:r>
        <w:rPr>
          <w:rStyle w:val="font_h2"/>
        </w:rPr>
        <w:t xml:space="preserve">8.43.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30"/>
        </w:numPr>
      </w:pPr>
      <w:r>
        <w:rPr/>
        <w:t xml:space="preserve">Garantir une constance de qualité de fabrication et une constance de la composition chimique.</w:t>
      </w:r>
    </w:p>
    <w:p>
      <w:pPr>
        <w:pPr/>
        <w:numPr>
          <w:ilvl w:val="0"/>
          <w:numId w:val="30"/>
        </w:numPr>
      </w:pPr>
      <w:r>
        <w:rPr/>
        <w:t xml:space="preserve">En cas de changement, informer le CSTB de toute modification de la composition de son produit.</w:t>
      </w:r>
    </w:p>
    <w:p>
      <w:pPr>
        <w:pPr/>
        <w:numPr>
          <w:ilvl w:val="0"/>
          <w:numId w:val="30"/>
        </w:numPr>
      </w:pPr>
      <w:r>
        <w:rPr/>
        <w:t xml:space="preserve">Assurer le contrôle qualité en fabrication garantissant les performances de son produit.</w:t>
      </w:r>
    </w:p>
    <w:p>
      <w:pPr>
        <w:ind w:left="720" w:right="0"/>
      </w:pPr>
      <w:r>
        <w:rPr>
          <w:rStyle w:val="font_h2"/>
        </w:rPr>
        <w:t xml:space="preserve">8.44.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8.45.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1"/>
        </w:numPr>
      </w:pPr>
      <w:r>
        <w:rPr/>
        <w:t xml:space="preserve">Pour tous les nouveaux systèmes ;</w:t>
      </w:r>
    </w:p>
    <w:p>
      <w:pPr>
        <w:pPr/>
        <w:numPr>
          <w:ilvl w:val="0"/>
          <w:numId w:val="31"/>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8.46.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8.47.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8.48.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8.49.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8.50.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8.51.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8.52. 2023 (10) Butée d’arrêt</w:t>
      </w:r>
    </w:p>
    <w:p>
      <w:pPr/>
      <w:r>
        <w:rPr/>
        <w:t xml:space="preserve">Validé par le Groupe Spécialisé le 16/11/2023</w:t>
      </w:r>
    </w:p>
    <w:p>
      <w:pPr/>
      <w:r>
        <w:rPr>
          <w:b/>
          <w:bCs/>
        </w:rPr>
        <w:t xml:space="preserve">Description</w:t>
      </w:r>
    </w:p>
    <w:p>
      <w:pPr/>
      <w:r>
        <w:rPr/>
        <w:t xml:space="preserve">Dans le cas des fenêtres coulissantes, la phrase suivante doit être ajoutée au paragraphe « Disposition de conception » : « Dans certains cas, il peut être nécessaire d’installer des buttées d’arrêt afin de pallier aux risques de casse thermique des vitrages ».</w:t>
      </w:r>
    </w:p>
    <w:p>
      <w:pPr>
        <w:ind w:left="720" w:right="0"/>
      </w:pPr>
      <w:r>
        <w:rPr>
          <w:rStyle w:val="font_h2"/>
        </w:rPr>
        <w:t xml:space="preserve">8.53.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8.54.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8.55.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2"/>
        </w:numPr>
      </w:pPr>
      <w:r>
        <w:rPr/>
        <w:t xml:space="preserve">le préciser dans le paragraphe « domaine d’emploi », </w:t>
      </w:r>
    </w:p>
    <w:p>
      <w:pPr>
        <w:pPr/>
        <w:numPr>
          <w:ilvl w:val="0"/>
          <w:numId w:val="32"/>
        </w:numPr>
      </w:pPr>
      <w:r>
        <w:rPr/>
        <w:t xml:space="preserve">l’indiquer dans le paragraphe « remarques complémentaires du groupe spécialisé », </w:t>
      </w:r>
    </w:p>
    <w:p>
      <w:pPr>
        <w:pPr/>
        <w:numPr>
          <w:ilvl w:val="0"/>
          <w:numId w:val="32"/>
        </w:numPr>
      </w:pPr>
      <w:r>
        <w:rPr/>
        <w:t xml:space="preserve">présenter dans le dossier publié un schéma montrant la mise en place de ce profilé et son interaction avec le gros œuvre.</w:t>
      </w:r>
    </w:p>
    <w:p>
      <w:pPr>
        <w:ind w:left="720" w:right="0"/>
      </w:pPr>
      <w:r>
        <w:rPr>
          <w:rStyle w:val="font_h2"/>
        </w:rPr>
        <w:t xml:space="preserve">8.56.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8.57.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8.58.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8.59.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8.60. 2024 (02) Descripteur DTA coulissants</w:t>
      </w:r>
    </w:p>
    <w:p>
      <w:pPr/>
      <w:r>
        <w:rPr/>
        <w:t xml:space="preserve">Validé par le Groupe Spécialisé le 13/03/2024</w:t>
      </w:r>
    </w:p>
    <w:p>
      <w:pPr/>
      <w:r>
        <w:rPr>
          <w:b/>
          <w:bCs/>
        </w:rPr>
        <w:t xml:space="preserve">Description</w:t>
      </w:r>
    </w:p>
    <w:p>
      <w:pPr/>
      <w:r>
        <w:rPr/>
        <w:t xml:space="preserve">Dans le cas des systèmes coulissants en aluminium RPT, dans les paragraphes Descripteur et Description, il ne sera plus précisé : « Ce système permet de réaliser des fenêtres […] dont les cadres tant dormants qu’ouvrants (sauf montant centraux) sont réalisés avec des profilés en aluminium à rupture de pont thermique » mais seulement : « Ce système permet de réaliser des fenêtres […] dont les cadres tant dormants qu’ouvrants sont réalisés avec des profilés en aluminium à rupture de pont thermique ».</w:t>
      </w:r>
    </w:p>
    <w:p>
      <w:pPr>
        <w:ind w:left="720" w:right="0"/>
      </w:pPr>
      <w:r>
        <w:rPr>
          <w:rStyle w:val="font_h2"/>
        </w:rPr>
        <w:t xml:space="preserve">8.61.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8.62.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8.63.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3"/>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3"/>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8.64.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8.65. 2025 (02) Justification de la compatibilité et de l’adhésivité-cohésion des mastics</w:t>
      </w:r>
    </w:p>
    <w:p>
      <w:pPr>
        <w:ind w:left="720" w:right="0"/>
      </w:pPr>
      <w:r>
        <w:rPr>
          <w:rStyle w:val="font_h2"/>
        </w:rPr>
        <w:t xml:space="preserve">8.66. 2025 (03) Protection de la traverse haute dans le cas des bardages ventilés</w:t>
      </w:r>
    </w:p>
    <w:p>
      <w:pPr>
        <w:ind w:left="720" w:right="0"/>
      </w:pPr>
      <w:r>
        <w:rPr>
          <w:rStyle w:val="font_h2"/>
        </w:rPr>
        <w:t xml:space="preserve">8.67. 2025 (06) Réalisation de l’essai à l’eau E* avec reconstitution de dalle sur plot</w:t>
      </w:r>
    </w:p>
    <w:p>
      <w:pPr>
        <w:ind w:left="720" w:right="0"/>
      </w:pPr>
      <w:r>
        <w:rPr>
          <w:rStyle w:val="font_h2"/>
        </w:rPr>
        <w:t xml:space="preserve">8.68. 2025 (06) Ajout paragraphe concernant l’évaluation du risque de chute</w:t>
      </w:r>
    </w:p>
    <w:p>
      <w:pPr>
        <w:ind w:left="720" w:right="0"/>
      </w:pPr>
      <w:r>
        <w:rPr>
          <w:rStyle w:val="font_h2"/>
        </w:rPr>
        <w:t xml:space="preserve">8.69. 2025 (09) Classement minimum obtenu à l’essai de perméabilité à l’air sous gradient de température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40CB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329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E3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F72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562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14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AF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89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4C28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EEA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02F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76F9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E11A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DAF6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055E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543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A272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857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D93E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A9F8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6CA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7991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9CAA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2ADF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0B57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2025-10-19T16:17:39+02:00</dcterms:created>
  <dcterms:modified xsi:type="dcterms:W3CDTF">2025-10-19T16:17:39+02:00</dcterms:modified>
</cp:coreProperties>
</file>

<file path=docProps/custom.xml><?xml version="1.0" encoding="utf-8"?>
<Properties xmlns="http://schemas.openxmlformats.org/officeDocument/2006/custom-properties" xmlns:vt="http://schemas.openxmlformats.org/officeDocument/2006/docPropsVTypes"/>
</file>