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06 - Édité le 08/08/2026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06 « Composants de baies et vitrages »</w:t>
      </w:r>
    </w:p>
    <w:p>
      <w:pPr/>
      <w:r>
        <w:rPr>
          <w:rStyle w:val="font_default"/>
        </w:rPr>
        <w:t xml:space="preserve">Famille de produits ou procédés : </w:t>
      </w:r>
      <w:r>
        <w:rPr>
          <w:rStyle w:val="font_h3"/>
        </w:rPr>
        <w:t xml:space="preserve">Fenêtre coulissante mixte</w:t>
      </w:r>
    </w:p>
    <w:p>
      <w:pPr/>
      <w:r>
        <w:rPr>
          <w:rStyle w:val="font_h1"/>
        </w:rPr>
        <w:t xml:space="preserve">1. Principe</w:t>
      </w:r>
    </w:p>
    <w:p>
      <w:pPr/>
      <w:r>
        <w:rPr/>
        <w:t xml:space="preserve">Validé par le Groupe Spécialisé le 02/01/2018</w:t>
      </w:r>
    </w:p>
    <w:p>
      <w:pPr/>
      <w:r>
        <w:rPr>
          <w:b/>
          <w:bCs/>
        </w:rPr>
        <w:t xml:space="preserve">Description</w:t>
      </w:r>
    </w:p>
    <w:p>
      <w:pPr/>
      <w:r>
        <w:rPr/>
        <w:t xml:space="preserve">Préciser pour le produit objet de la demande :</w:t>
      </w:r>
    </w:p>
    <w:p>
      <w:pPr>
        <w:pPr/>
        <w:numPr>
          <w:ilvl w:val="0"/>
          <w:numId w:val="9"/>
        </w:numPr>
      </w:pPr>
      <w:r>
        <w:rPr/>
        <w:t xml:space="preserve">nature des travaux (neuf, rénovation...) ;</w:t>
      </w:r>
    </w:p>
    <w:p>
      <w:pPr>
        <w:pPr/>
        <w:numPr>
          <w:ilvl w:val="0"/>
          <w:numId w:val="9"/>
        </w:numPr>
      </w:pPr>
      <w:r>
        <w:rPr/>
        <w:t xml:space="preserve">types des gros-oeuvre visés (doublages intérieurs, ITE, ossature bois ...) ;</w:t>
      </w:r>
    </w:p>
    <w:p>
      <w:pPr>
        <w:pPr/>
        <w:numPr>
          <w:ilvl w:val="0"/>
          <w:numId w:val="9"/>
        </w:numPr>
      </w:pPr>
      <w:r>
        <w:rPr/>
        <w:t xml:space="preserve">position de la fenêtre par rapport au GO (applique intérieure, nu extérieur, mi mur ....).</w:t>
      </w:r>
    </w:p>
    <w:p>
      <w:pPr/>
      <w:r>
        <w:rPr/>
        <w:t xml:space="preserve">Définir les types de fenêtres objet de la demande de DTA :</w:t>
      </w:r>
    </w:p>
    <w:p>
      <w:pPr>
        <w:pPr/>
        <w:numPr>
          <w:ilvl w:val="0"/>
          <w:numId w:val="10"/>
        </w:numPr>
      </w:pPr>
      <w:r>
        <w:rPr/>
        <w:t xml:space="preserve">modes d’ouverture, nombre de vantaux ;</w:t>
      </w:r>
    </w:p>
    <w:p>
      <w:pPr>
        <w:pPr/>
        <w:numPr>
          <w:ilvl w:val="0"/>
          <w:numId w:val="10"/>
        </w:numPr>
      </w:pPr>
      <w:r>
        <w:rPr/>
        <w:t xml:space="preserve">les dimensions maxi hors tout et les dimensions correspondantes des baies concernées.</w:t>
      </w:r>
    </w:p>
    <w:p>
      <w:pPr/>
      <w:r>
        <w:rPr/>
        <w:t xml:space="preserve">Préciser le(s) lieu(x) géographique(s) où est envisagée la pose des fenêtres objet de la demande.</w:t>
      </w:r>
    </w:p>
    <w:p>
      <w:pPr/>
      <w:r>
        <w:rPr>
          <w:b/>
          <w:bCs/>
        </w:rPr>
        <w:t xml:space="preserve">Justification</w:t>
      </w:r>
    </w:p>
    <w:p>
      <w:pPr/>
      <w:r>
        <w:rPr>
          <w:i/>
          <w:iCs/>
        </w:rPr>
        <w:t xml:space="preserve">NB : Une définition de la trame de ce Dossier Technique ainsi qu’un fichier informatique de situations de pose sont à disposition sur simple demande.</w:t>
      </w:r>
    </w:p>
    <w:p>
      <w:pPr/>
      <w:r>
        <w:rPr>
          <w:rStyle w:val="font_h1"/>
        </w:rPr>
        <w:t xml:space="preserve">2. Matériaux</w:t>
      </w:r>
    </w:p>
    <w:p>
      <w:pPr>
        <w:ind w:left="720" w:right="0"/>
      </w:pPr>
      <w:r>
        <w:rPr>
          <w:rStyle w:val="font_h2"/>
        </w:rPr>
        <w:t xml:space="preserve">2.1. Profilés mixtes</w:t>
      </w:r>
    </w:p>
    <w:p>
      <w:pPr>
        <w:ind w:left="720" w:right="0"/>
      </w:pPr>
      <w:r>
        <w:rPr>
          <w:rStyle w:val="font_h2"/>
        </w:rPr>
        <w:t xml:space="preserve">2.2. Profilés PVC</w:t>
      </w:r>
    </w:p>
    <w:p>
      <w:pPr/>
      <w:r>
        <w:rPr/>
        <w:t xml:space="preserve">Validé par le Groupe Spécialisé le 02/01/2018</w:t>
      </w:r>
    </w:p>
    <w:p>
      <w:pPr/>
      <w:r>
        <w:rPr>
          <w:b/>
          <w:bCs/>
        </w:rPr>
        <w:t xml:space="preserve">Description</w:t>
      </w:r>
    </w:p>
    <w:p>
      <w:pPr/>
      <w:r>
        <w:rPr/>
        <w:t xml:space="preserve">Identifier et définir le matériau de tous les constituants des fenêtres objet de la demande, pour notamment :</w:t>
      </w:r>
    </w:p>
    <w:p>
      <w:pPr>
        <w:pPr/>
        <w:numPr>
          <w:ilvl w:val="0"/>
          <w:numId w:val="11"/>
        </w:numPr>
      </w:pPr>
      <w:r>
        <w:rPr/>
        <w:t xml:space="preserve">Profilés PVC :</w:t>
      </w:r>
    </w:p>
    <w:p>
      <w:pPr>
        <w:pPr/>
        <w:numPr>
          <w:ilvl w:val="1"/>
          <w:numId w:val="11"/>
        </w:numPr>
      </w:pPr>
      <w:r>
        <w:rPr/>
        <w:t xml:space="preserve">Profilés principaux ;</w:t>
      </w:r>
    </w:p>
    <w:p>
      <w:pPr>
        <w:pPr/>
        <w:numPr>
          <w:ilvl w:val="1"/>
          <w:numId w:val="11"/>
        </w:numPr>
      </w:pPr>
      <w:r>
        <w:rPr/>
        <w:t xml:space="preserve">Profilés complémentaires ;</w:t>
      </w:r>
    </w:p>
    <w:p>
      <w:pPr>
        <w:pPr/>
        <w:numPr>
          <w:ilvl w:val="1"/>
          <w:numId w:val="11"/>
        </w:numPr>
      </w:pPr>
      <w:r>
        <w:rPr/>
        <w:t xml:space="preserve">Films colorés.</w:t>
      </w:r>
    </w:p>
    <w:p>
      <w:pPr/>
      <w:r>
        <w:rPr>
          <w:b/>
          <w:bCs/>
        </w:rPr>
        <w:t xml:space="preserve">Justification</w:t>
      </w:r>
    </w:p>
    <w:p>
      <w:pPr/>
      <w:r>
        <w:rPr/>
        <w:t xml:space="preserve">Indiquer toutes les références.</w:t>
      </w:r>
    </w:p>
    <w:p>
      <w:pPr/>
      <w:r>
        <w:rPr/>
        <w:t xml:space="preserve">Fournir un dossier de plans illustrant tous les constituants des fenêtres objet de la demande.</w:t>
      </w:r>
    </w:p>
    <w:p>
      <w:pPr>
        <w:ind w:left="720" w:right="0"/>
      </w:pPr>
      <w:r>
        <w:rPr>
          <w:rStyle w:val="font_h2"/>
        </w:rPr>
        <w:t xml:space="preserve">2.3. Profilés aluminium</w:t>
      </w:r>
    </w:p>
    <w:p>
      <w:pPr>
        <w:ind w:left="1440" w:right="0"/>
      </w:pPr>
      <w:r>
        <w:rPr>
          <w:rStyle w:val="font_h3"/>
        </w:rPr>
        <w:t xml:space="preserve">2.3.1. Profilés aluminium à rupture de pont thermique</w:t>
      </w:r>
    </w:p>
    <w:p>
      <w:pPr/>
      <w:r>
        <w:rPr/>
        <w:t xml:space="preserve">Validé par le Groupe Spécialisé le 02/01/2018</w:t>
      </w:r>
    </w:p>
    <w:p>
      <w:pPr/>
      <w:r>
        <w:rPr>
          <w:b/>
          <w:bCs/>
        </w:rPr>
        <w:t xml:space="preserve">Description</w:t>
      </w:r>
    </w:p>
    <w:p>
      <w:pPr/>
      <w:r>
        <w:rPr/>
        <w:t xml:space="preserve">Identifier et définir le matériau de tous les constituants des fenêtres objet de la demande, pour notamment :</w:t>
      </w:r>
    </w:p>
    <w:p>
      <w:pPr>
        <w:pPr/>
        <w:numPr>
          <w:ilvl w:val="0"/>
          <w:numId w:val="12"/>
        </w:numPr>
      </w:pPr>
      <w:r>
        <w:rPr/>
        <w:t xml:space="preserve">Profilés aluminium (alliage, nature de la coupure thermique, fabricants) :</w:t>
      </w:r>
    </w:p>
    <w:p>
      <w:pPr>
        <w:pPr/>
        <w:numPr>
          <w:ilvl w:val="1"/>
          <w:numId w:val="12"/>
        </w:numPr>
      </w:pPr>
      <w:r>
        <w:rPr/>
        <w:t xml:space="preserve">Profilés principaux ;</w:t>
      </w:r>
    </w:p>
    <w:p>
      <w:pPr>
        <w:pPr/>
        <w:numPr>
          <w:ilvl w:val="1"/>
          <w:numId w:val="12"/>
        </w:numPr>
      </w:pPr>
      <w:r>
        <w:rPr/>
        <w:t xml:space="preserve">Profilés complémentaires.</w:t>
      </w:r>
    </w:p>
    <w:p>
      <w:pPr/>
      <w:r>
        <w:rPr>
          <w:b/>
          <w:bCs/>
        </w:rPr>
        <w:t xml:space="preserve">Justification</w:t>
      </w:r>
    </w:p>
    <w:p>
      <w:pPr/>
      <w:r>
        <w:rPr/>
        <w:t xml:space="preserve">Indiquer toutes les références.</w:t>
      </w:r>
    </w:p>
    <w:p>
      <w:pPr/>
      <w:r>
        <w:rPr/>
        <w:t xml:space="preserve">Fournir un dossier de plans illustrant tous les constituants des fenêtres objet de la demande.</w:t>
      </w:r>
    </w:p>
    <w:p>
      <w:pPr/>
      <w:r>
        <w:rPr>
          <w:b/>
          <w:bCs/>
        </w:rPr>
        <w:t xml:space="preserve">Illustration</w:t>
      </w:r>
    </w:p>
    <w:p>
      <w:pPr/>
      <w:r>
        <w:rPr/>
        <w:t xml:space="preserve">Présenter sous format AutoCad l'ensemble des profilés à rupture de ponts thermiques.</w:t>
      </w:r>
    </w:p>
    <w:p>
      <w:pPr>
        <w:ind w:left="1440" w:right="0"/>
      </w:pPr>
      <w:r>
        <w:rPr>
          <w:rStyle w:val="font_h3"/>
        </w:rPr>
        <w:t xml:space="preserve">2.3.2. Profilés aluminium</w:t>
      </w:r>
    </w:p>
    <w:p>
      <w:pPr/>
      <w:r>
        <w:rPr/>
        <w:t xml:space="preserve">Validé par le Groupe Spécialisé le 02/01/2018</w:t>
      </w:r>
    </w:p>
    <w:p>
      <w:pPr/>
      <w:r>
        <w:rPr>
          <w:b/>
          <w:bCs/>
        </w:rPr>
        <w:t xml:space="preserve">Description</w:t>
      </w:r>
    </w:p>
    <w:p>
      <w:pPr/>
      <w:r>
        <w:rPr/>
        <w:t xml:space="preserve">Identifier et définir le matériau de tous les constituants des fenêtres objet de la demande.</w:t>
      </w:r>
    </w:p>
    <w:p>
      <w:pPr/>
      <w:r>
        <w:rPr>
          <w:b/>
          <w:bCs/>
        </w:rPr>
        <w:t xml:space="preserve">Justification</w:t>
      </w:r>
    </w:p>
    <w:p>
      <w:pPr/>
      <w:r>
        <w:rPr/>
        <w:t xml:space="preserve">Indiquer toutes les références, nature et fabricants.</w:t>
      </w:r>
    </w:p>
    <w:p>
      <w:pPr/>
      <w:r>
        <w:rPr/>
        <w:t xml:space="preserve">Fournir un dossier de plans illustrant tous les constituants des fenêtres objet de la demande.</w:t>
      </w:r>
    </w:p>
    <w:p>
      <w:pPr>
        <w:ind w:left="720" w:right="0"/>
      </w:pPr>
      <w:r>
        <w:rPr>
          <w:rStyle w:val="font_h2"/>
        </w:rPr>
        <w:t xml:space="preserve">2.4. Profilés métalliques</w:t>
      </w:r>
    </w:p>
    <w:p>
      <w:pPr/>
      <w:r>
        <w:rPr/>
        <w:t xml:space="preserve">Validé par le Groupe Spécialisé le 02/01/2018</w:t>
      </w:r>
    </w:p>
    <w:p>
      <w:pPr/>
      <w:r>
        <w:rPr>
          <w:b/>
          <w:bCs/>
        </w:rPr>
        <w:t xml:space="preserve">Description</w:t>
      </w:r>
    </w:p>
    <w:p>
      <w:pPr/>
      <w:r>
        <w:rPr/>
        <w:t xml:space="preserve">Identifier et définir le matériau de tous les constituants des fenêtres objet de la demande.</w:t>
      </w:r>
    </w:p>
    <w:p>
      <w:pPr/>
      <w:r>
        <w:rPr>
          <w:b/>
          <w:bCs/>
        </w:rPr>
        <w:t xml:space="preserve">Justification</w:t>
      </w:r>
    </w:p>
    <w:p>
      <w:pPr/>
      <w:r>
        <w:rPr/>
        <w:t xml:space="preserve">Indiquer toutes les références.</w:t>
      </w:r>
    </w:p>
    <w:p>
      <w:pPr/>
      <w:r>
        <w:rPr/>
        <w:t xml:space="preserve">Fournir un dossier de plans illustrant tous les constituants des fenêtres objet de la demande.</w:t>
      </w:r>
    </w:p>
    <w:p>
      <w:pPr>
        <w:ind w:left="720" w:right="0"/>
      </w:pPr>
      <w:r>
        <w:rPr>
          <w:rStyle w:val="font_h2"/>
        </w:rPr>
        <w:t xml:space="preserve">2.5. Profilés bois</w:t>
      </w:r>
    </w:p>
    <w:p>
      <w:pPr>
        <w:ind w:left="720" w:right="0"/>
      </w:pPr>
      <w:r>
        <w:rPr>
          <w:rStyle w:val="font_h2"/>
        </w:rPr>
        <w:t xml:space="preserve">2.6. Renforts</w:t>
      </w:r>
    </w:p>
    <w:p>
      <w:pPr>
        <w:ind w:left="720" w:right="0"/>
      </w:pPr>
      <w:r>
        <w:rPr>
          <w:rStyle w:val="font_h2"/>
        </w:rPr>
        <w:t xml:space="preserve">2.7. Profilés complémentaires d'étanchéité</w:t>
      </w:r>
    </w:p>
    <w:p>
      <w:pPr/>
      <w:r>
        <w:rPr/>
        <w:t xml:space="preserve">Validé par le Groupe Spécialisé le 02/01/2018</w:t>
      </w:r>
    </w:p>
    <w:p>
      <w:pPr/>
      <w:r>
        <w:rPr>
          <w:b/>
          <w:bCs/>
        </w:rPr>
        <w:t xml:space="preserve">Description</w:t>
      </w:r>
    </w:p>
    <w:p>
      <w:pPr/>
      <w:r>
        <w:rPr/>
        <w:t xml:space="preserve">Identifier et définir le matériau de tous les constituants des fenêtres objet de la demande.</w:t>
      </w:r>
    </w:p>
    <w:p>
      <w:pPr/>
      <w:r>
        <w:rPr>
          <w:b/>
          <w:bCs/>
        </w:rPr>
        <w:t xml:space="preserve">Justification</w:t>
      </w:r>
    </w:p>
    <w:p>
      <w:pPr/>
      <w:r>
        <w:rPr/>
        <w:t xml:space="preserve">Indiquer les références, natures et fabricants.</w:t>
      </w:r>
    </w:p>
    <w:p>
      <w:pPr/>
      <w:r>
        <w:rPr/>
        <w:t xml:space="preserve">Fournir un dossier de plans illustrant tous les constituants des fenêtres objet de la demande.</w:t>
      </w:r>
    </w:p>
    <w:p>
      <w:pPr>
        <w:ind w:left="720" w:right="0"/>
      </w:pPr>
      <w:r>
        <w:rPr>
          <w:rStyle w:val="font_h2"/>
        </w:rPr>
        <w:t xml:space="preserve">2.8. Accessoires et pièces complémentaires</w:t>
      </w:r>
    </w:p>
    <w:p>
      <w:pPr/>
      <w:r>
        <w:rPr/>
        <w:t xml:space="preserve">Validé par le Groupe Spécialisé le 02/01/2018</w:t>
      </w:r>
    </w:p>
    <w:p>
      <w:pPr/>
      <w:r>
        <w:rPr>
          <w:b/>
          <w:bCs/>
        </w:rPr>
        <w:t xml:space="preserve">Description</w:t>
      </w:r>
    </w:p>
    <w:p>
      <w:pPr/>
      <w:r>
        <w:rPr/>
        <w:t xml:space="preserve">Identifier et définir le matériau de tous les constituants des fenêtres objet de la demande.</w:t>
      </w:r>
    </w:p>
    <w:p>
      <w:pPr/>
      <w:r>
        <w:rPr>
          <w:b/>
          <w:bCs/>
        </w:rPr>
        <w:t xml:space="preserve">Justification</w:t>
      </w:r>
    </w:p>
    <w:p>
      <w:pPr/>
      <w:r>
        <w:rPr/>
        <w:t xml:space="preserve">Indiquer les références, nature et fabricants.</w:t>
      </w:r>
    </w:p>
    <w:p>
      <w:pPr/>
      <w:r>
        <w:rPr/>
        <w:t xml:space="preserve">Fournir un dossier de plans illustrant tous les constituants des fenêtres objet de la demande.</w:t>
      </w:r>
    </w:p>
    <w:p>
      <w:pPr>
        <w:ind w:left="720" w:right="0"/>
      </w:pPr>
      <w:r>
        <w:rPr>
          <w:rStyle w:val="font_h2"/>
        </w:rPr>
        <w:t xml:space="preserve">2.9. Quincaillerie</w:t>
      </w:r>
    </w:p>
    <w:p>
      <w:pPr/>
      <w:r>
        <w:rPr/>
        <w:t xml:space="preserve">Validé par le Groupe Spécialisé le 02/01/2018</w:t>
      </w:r>
    </w:p>
    <w:p>
      <w:pPr/>
      <w:r>
        <w:rPr>
          <w:b/>
          <w:bCs/>
        </w:rPr>
        <w:t xml:space="preserve">Description</w:t>
      </w:r>
    </w:p>
    <w:p>
      <w:pPr/>
      <w:r>
        <w:rPr/>
        <w:t xml:space="preserve">Identifier et définir le matériau de tous les constituants des fenêtres objet de la demande.</w:t>
      </w:r>
    </w:p>
    <w:p>
      <w:pPr/>
      <w:r>
        <w:rPr>
          <w:b/>
          <w:bCs/>
        </w:rPr>
        <w:t xml:space="preserve">Justification</w:t>
      </w:r>
    </w:p>
    <w:p>
      <w:pPr/>
      <w:r>
        <w:rPr/>
        <w:t xml:space="preserve">Indiquer les références, origines et recensement.</w:t>
      </w:r>
    </w:p>
    <w:p>
      <w:pPr/>
      <w:r>
        <w:rPr/>
        <w:t xml:space="preserve">Fournir un dossier de plans illustrant tous les constituants des fenêtres objet de la demande.</w:t>
      </w:r>
    </w:p>
    <w:p>
      <w:pPr>
        <w:ind w:left="720" w:right="0"/>
      </w:pPr>
      <w:r>
        <w:rPr>
          <w:rStyle w:val="font_h2"/>
        </w:rPr>
        <w:t xml:space="preserve">2.10. Vitrages</w:t>
      </w:r>
    </w:p>
    <w:p>
      <w:pPr/>
      <w:r>
        <w:rPr>
          <w:rStyle w:val="font_h1"/>
        </w:rPr>
        <w:t xml:space="preserve">3. Eléments</w:t>
      </w:r>
    </w:p>
    <w:p>
      <w:pPr>
        <w:ind w:left="720" w:right="0"/>
      </w:pPr>
      <w:r>
        <w:rPr>
          <w:rStyle w:val="font_h2"/>
        </w:rPr>
        <w:t xml:space="preserve">3.1. Cadre dormant</w:t>
      </w:r>
    </w:p>
    <w:p>
      <w:pPr/>
      <w:r>
        <w:rPr/>
        <w:t xml:space="preserve">Validé par le Groupe Spécialisé le 13/03/2025</w:t>
      </w:r>
    </w:p>
    <w:p>
      <w:pPr/>
      <w:r>
        <w:rPr>
          <w:b/>
          <w:bCs/>
        </w:rPr>
        <w:t xml:space="preserve">Description</w:t>
      </w:r>
    </w:p>
    <w:p>
      <w:pPr/>
      <w:r>
        <w:rPr/>
        <w:t xml:space="preserve">Définir la fabrication des cadres dormants, par la description des modalités d’assemblage, d’étanchéité, de drainage et équilibrage de pression ainsi que les prises de volumes qui sont envisagées.</w:t>
      </w:r>
    </w:p>
    <w:p>
      <w:pPr/>
      <w:r>
        <w:rPr/>
        <w:t xml:space="preserve">Cf. NF EN 14351-1+A2 // e-cahier CSTB 3625 // NF DTU 36.5 P1-1 et P1-2 // NF DTU 39 // NF P 20-650-1.</w:t>
      </w:r>
    </w:p>
    <w:p>
      <w:pPr/>
      <w:r>
        <w:rPr>
          <w:b/>
          <w:bCs/>
        </w:rPr>
        <w:t xml:space="preserve">Justification</w:t>
      </w:r>
    </w:p>
    <w:p>
      <w:pPr/>
      <w:r>
        <w:rPr/>
        <w:t xml:space="preserve">Renseigner au moins les éléments suivants :</w:t>
      </w:r>
    </w:p>
    <w:p>
      <w:pPr>
        <w:pPr/>
        <w:numPr>
          <w:ilvl w:val="0"/>
          <w:numId w:val="13"/>
        </w:numPr>
      </w:pPr>
      <w:r>
        <w:rPr/>
        <w:t xml:space="preserve">Cadre dormant :</w:t>
      </w:r>
    </w:p>
    <w:p>
      <w:pPr>
        <w:pPr/>
        <w:numPr>
          <w:ilvl w:val="1"/>
          <w:numId w:val="13"/>
        </w:numPr>
      </w:pPr>
      <w:r>
        <w:rPr/>
        <w:t xml:space="preserve">Meneaux et traverse;</w:t>
      </w:r>
    </w:p>
    <w:p>
      <w:pPr>
        <w:pPr/>
        <w:numPr>
          <w:ilvl w:val="1"/>
          <w:numId w:val="13"/>
        </w:numPr>
      </w:pPr>
      <w:r>
        <w:rPr/>
        <w:t xml:space="preserve">Drainage ;</w:t>
      </w:r>
    </w:p>
    <w:p>
      <w:pPr>
        <w:pPr/>
        <w:numPr>
          <w:ilvl w:val="1"/>
          <w:numId w:val="13"/>
        </w:numPr>
      </w:pPr>
      <w:r>
        <w:rPr/>
        <w:t xml:space="preserve">Équilibrage de pression ;</w:t>
      </w:r>
    </w:p>
    <w:p>
      <w:pPr>
        <w:pPr/>
        <w:numPr>
          <w:ilvl w:val="1"/>
          <w:numId w:val="13"/>
        </w:numPr>
      </w:pPr>
      <w:r>
        <w:rPr/>
        <w:t xml:space="preserve">Fourrures d'épaisseur ;</w:t>
      </w:r>
    </w:p>
    <w:p>
      <w:pPr>
        <w:pPr/>
        <w:numPr>
          <w:ilvl w:val="1"/>
          <w:numId w:val="13"/>
        </w:numPr>
      </w:pPr>
      <w:r>
        <w:rPr/>
        <w:t xml:space="preserve">Seuil ;</w:t>
      </w:r>
    </w:p>
    <w:p>
      <w:pPr>
        <w:pPr/>
        <w:numPr>
          <w:ilvl w:val="1"/>
          <w:numId w:val="13"/>
        </w:numPr>
      </w:pPr>
      <w:r>
        <w:rPr/>
        <w:t xml:space="preserve">Fixe.</w:t>
      </w:r>
    </w:p>
    <w:p>
      <w:pPr/>
      <w:r>
        <w:rPr/>
        <w:t xml:space="preserve">Fournir un dossier de plans illustrant toutes les modalités de fabrication des cadres dormants des fenêtres objet de la demande.</w:t>
      </w:r>
    </w:p>
    <w:p>
      <w:pPr>
        <w:ind w:left="720" w:right="0"/>
      </w:pPr>
      <w:r>
        <w:rPr>
          <w:rStyle w:val="font_h2"/>
        </w:rPr>
        <w:t xml:space="preserve">3.2. Cadre ouvrant</w:t>
      </w:r>
    </w:p>
    <w:p>
      <w:pPr/>
      <w:r>
        <w:rPr/>
        <w:t xml:space="preserve">Validé par le Groupe Spécialisé le 13/03/2025</w:t>
      </w:r>
    </w:p>
    <w:p>
      <w:pPr/>
      <w:r>
        <w:rPr>
          <w:b/>
          <w:bCs/>
        </w:rPr>
        <w:t xml:space="preserve">Description</w:t>
      </w:r>
    </w:p>
    <w:p>
      <w:pPr/>
      <w:r>
        <w:rPr/>
        <w:t xml:space="preserve">Définir la fabrication des cadres ouvrants, par la description des modalités d’assemblage, d’étanchéité, de drainage et équilibrage de pression ainsi que les prises de volumes qui sont envisagées.</w:t>
      </w:r>
    </w:p>
    <w:p>
      <w:pPr/>
      <w:r>
        <w:rPr>
          <w:i/>
          <w:iCs/>
        </w:rPr>
        <w:t xml:space="preserve">Cf. NF EN 14351-1+A2 // e-cahier CSTB 3625 // NF DTU 36.5 P1-1 et P1-2 // NF DTU 39 // NF P 20-650-1.</w:t>
      </w:r>
    </w:p>
    <w:p>
      <w:pPr/>
      <w:r>
        <w:rPr>
          <w:b/>
          <w:bCs/>
        </w:rPr>
        <w:t xml:space="preserve">Justification</w:t>
      </w:r>
    </w:p>
    <w:p>
      <w:pPr/>
      <w:r>
        <w:rPr/>
        <w:t xml:space="preserve">Renseigner au moins les éléments suivants: </w:t>
      </w:r>
    </w:p>
    <w:p>
      <w:pPr>
        <w:pPr/>
        <w:numPr>
          <w:ilvl w:val="0"/>
          <w:numId w:val="14"/>
        </w:numPr>
      </w:pPr>
      <w:r>
        <w:rPr/>
        <w:t xml:space="preserve">Cadre ouvrant :</w:t>
      </w:r>
    </w:p>
    <w:p>
      <w:pPr>
        <w:pPr/>
        <w:numPr>
          <w:ilvl w:val="1"/>
          <w:numId w:val="14"/>
        </w:numPr>
      </w:pPr>
      <w:r>
        <w:rPr/>
        <w:t xml:space="preserve">Assemblage des cadres ouvrants bois / aluminium / PVC ;</w:t>
      </w:r>
    </w:p>
    <w:p>
      <w:pPr>
        <w:pPr/>
        <w:numPr>
          <w:ilvl w:val="1"/>
          <w:numId w:val="14"/>
        </w:numPr>
      </w:pPr>
      <w:r>
        <w:rPr/>
        <w:t xml:space="preserve">Battements ;</w:t>
      </w:r>
    </w:p>
    <w:p>
      <w:pPr>
        <w:pPr/>
        <w:numPr>
          <w:ilvl w:val="1"/>
          <w:numId w:val="14"/>
        </w:numPr>
      </w:pPr>
      <w:r>
        <w:rPr/>
        <w:t xml:space="preserve">Rejets d'eau ;</w:t>
      </w:r>
    </w:p>
    <w:p>
      <w:pPr>
        <w:pPr/>
        <w:numPr>
          <w:ilvl w:val="1"/>
          <w:numId w:val="14"/>
        </w:numPr>
      </w:pPr>
      <w:r>
        <w:rPr/>
        <w:t xml:space="preserve">Traverses ;</w:t>
      </w:r>
    </w:p>
    <w:p>
      <w:pPr>
        <w:pPr/>
        <w:numPr>
          <w:ilvl w:val="1"/>
          <w:numId w:val="14"/>
        </w:numPr>
      </w:pPr>
      <w:r>
        <w:rPr/>
        <w:t xml:space="preserve">Renforts ;</w:t>
      </w:r>
    </w:p>
    <w:p>
      <w:pPr>
        <w:pPr/>
        <w:numPr>
          <w:ilvl w:val="1"/>
          <w:numId w:val="14"/>
        </w:numPr>
      </w:pPr>
      <w:r>
        <w:rPr/>
        <w:t xml:space="preserve">Drainage ;</w:t>
      </w:r>
    </w:p>
    <w:p>
      <w:pPr>
        <w:pPr/>
        <w:numPr>
          <w:ilvl w:val="1"/>
          <w:numId w:val="14"/>
        </w:numPr>
      </w:pPr>
      <w:r>
        <w:rPr/>
        <w:t xml:space="preserve">Équilibrage de pression.</w:t>
      </w:r>
    </w:p>
    <w:p>
      <w:pPr/>
      <w:r>
        <w:rPr/>
        <w:t xml:space="preserve">Fournir un dossier de plans illustrant toutes les modalités de fabrication des cadres ouvrants des fenêtres objet de la demande.</w:t>
      </w:r>
    </w:p>
    <w:p>
      <w:pPr>
        <w:ind w:left="720" w:right="0"/>
      </w:pPr>
      <w:r>
        <w:rPr>
          <w:rStyle w:val="font_h2"/>
        </w:rPr>
        <w:t xml:space="preserve">3.3. Ferrage</w:t>
      </w:r>
    </w:p>
    <w:p>
      <w:pPr>
        <w:ind w:left="1440" w:right="0"/>
      </w:pPr>
      <w:r>
        <w:rPr>
          <w:rStyle w:val="font_h3"/>
        </w:rPr>
        <w:t xml:space="preserve">3.3.1. Ouverture à la française</w:t>
      </w:r>
    </w:p>
    <w:p>
      <w:pPr>
        <w:ind w:left="1440" w:right="0"/>
      </w:pPr>
      <w:r>
        <w:rPr>
          <w:rStyle w:val="font_h3"/>
        </w:rPr>
        <w:t xml:space="preserve">3.3.2. Ouverture à soufflet</w:t>
      </w:r>
    </w:p>
    <w:p>
      <w:pPr>
        <w:ind w:left="1440" w:right="0"/>
      </w:pPr>
      <w:r>
        <w:rPr>
          <w:rStyle w:val="font_h3"/>
        </w:rPr>
        <w:t xml:space="preserve">3.3.3. Ouverture oscillo-battant</w:t>
      </w:r>
    </w:p>
    <w:p>
      <w:pPr>
        <w:ind w:left="1440" w:right="0"/>
      </w:pPr>
      <w:r>
        <w:rPr>
          <w:rStyle w:val="font_h3"/>
        </w:rPr>
        <w:t xml:space="preserve">3.3.4. Calage ouvrant</w:t>
      </w:r>
    </w:p>
    <w:p>
      <w:pPr>
        <w:ind w:left="720" w:right="0"/>
      </w:pPr>
      <w:r>
        <w:rPr>
          <w:rStyle w:val="font_h2"/>
        </w:rPr>
        <w:t xml:space="preserve">3.4. Vitrage</w:t>
      </w:r>
    </w:p>
    <w:p>
      <w:pPr>
        <w:ind w:left="1440" w:right="0"/>
      </w:pPr>
      <w:r>
        <w:rPr>
          <w:rStyle w:val="font_h3"/>
        </w:rPr>
        <w:t xml:space="preserve">3.4.1. Généralités</w:t>
      </w:r>
    </w:p>
    <w:p>
      <w:pPr>
        <w:ind w:left="1440" w:right="0"/>
      </w:pPr>
      <w:r>
        <w:rPr>
          <w:rStyle w:val="font_h3"/>
        </w:rPr>
        <w:t xml:space="preserve">3.4.2. Collage vitrage ouvrant</w:t>
      </w:r>
    </w:p>
    <w:p>
      <w:pPr>
        <w:ind w:left="1440" w:right="0"/>
      </w:pPr>
      <w:r>
        <w:rPr>
          <w:rStyle w:val="font_h3"/>
        </w:rPr>
        <w:t xml:space="preserve">3.4.3. Remplacement du vitrage</w:t>
      </w:r>
    </w:p>
    <w:p>
      <w:pPr>
        <w:ind w:left="720" w:right="0"/>
      </w:pPr>
      <w:r>
        <w:rPr>
          <w:rStyle w:val="font_h2"/>
        </w:rPr>
        <w:t xml:space="preserve">3.5. Dimensions maximales</w:t>
      </w:r>
    </w:p>
    <w:p>
      <w:pPr/>
      <w:r>
        <w:rPr/>
        <w:t xml:space="preserve">Validé par le Groupe Spécialisé le 02/01/2018</w:t>
      </w:r>
    </w:p>
    <w:p>
      <w:pPr/>
      <w:r>
        <w:rPr>
          <w:b/>
          <w:bCs/>
        </w:rPr>
        <w:t xml:space="preserve">Description</w:t>
      </w:r>
    </w:p>
    <w:p>
      <w:pPr/>
      <w:r>
        <w:rPr/>
        <w:t xml:space="preserve">Définir les dimensions maxi hors tout et les dimensions correspondantes des baies concernées.</w:t>
      </w:r>
    </w:p>
    <w:p>
      <w:pPr/>
      <w:r>
        <w:rPr>
          <w:b/>
          <w:bCs/>
        </w:rPr>
        <w:t xml:space="preserve">Justification</w:t>
      </w:r>
    </w:p>
    <w:p>
      <w:pPr/>
      <w:r>
        <w:rPr/>
        <w:t xml:space="preserve">Fournir les abaques de dimensionnement et les dimensions maximum prévues dans la demande en fonction des configurations.</w:t>
      </w:r>
    </w:p>
    <w:p>
      <w:pPr/>
      <w:r>
        <w:rPr>
          <w:rStyle w:val="font_h1"/>
        </w:rPr>
        <w:t xml:space="preserve">4. Fabrication</w:t>
      </w:r>
    </w:p>
    <w:p>
      <w:pPr>
        <w:ind w:left="720" w:right="0"/>
      </w:pPr>
      <w:r>
        <w:rPr>
          <w:rStyle w:val="font_h2"/>
        </w:rPr>
        <w:t xml:space="preserve">4.1. Fabrication des profilés</w:t>
      </w:r>
    </w:p>
    <w:p>
      <w:pPr>
        <w:ind w:left="1440" w:right="0"/>
      </w:pPr>
      <w:r>
        <w:rPr>
          <w:rStyle w:val="font_h3"/>
        </w:rPr>
        <w:t xml:space="preserve">4.1.1. Profilés aluminium</w:t>
      </w:r>
    </w:p>
    <w:p>
      <w:pPr>
        <w:ind w:left="1440" w:right="0"/>
      </w:pPr>
      <w:r>
        <w:rPr>
          <w:rStyle w:val="font_h3"/>
        </w:rPr>
        <w:t xml:space="preserve">4.1.2. Profilés PVC</w:t>
      </w:r>
    </w:p>
    <w:p>
      <w:pPr>
        <w:ind w:left="1440" w:right="0"/>
      </w:pPr>
      <w:r>
        <w:rPr>
          <w:rStyle w:val="font_h3"/>
        </w:rPr>
        <w:t xml:space="preserve">4.1.3. Assemblage des profilés alu-PVC</w:t>
      </w:r>
    </w:p>
    <w:p>
      <w:pPr>
        <w:ind w:left="1440" w:right="0"/>
      </w:pPr>
      <w:r>
        <w:rPr>
          <w:rStyle w:val="font_h3"/>
        </w:rPr>
        <w:t xml:space="preserve">4.1.4. Usinage et assemblage des profilés bois</w:t>
      </w:r>
    </w:p>
    <w:p>
      <w:pPr>
        <w:ind w:left="1440" w:right="0"/>
      </w:pPr>
      <w:r>
        <w:rPr>
          <w:rStyle w:val="font_h3"/>
        </w:rPr>
        <w:t xml:space="preserve">4.1.5. Placage bois</w:t>
      </w:r>
    </w:p>
    <w:p>
      <w:pPr>
        <w:ind w:left="720" w:right="0"/>
      </w:pPr>
      <w:r>
        <w:rPr>
          <w:rStyle w:val="font_h2"/>
        </w:rPr>
        <w:t xml:space="preserve">4.2. Assemblage des fenêtres</w:t>
      </w:r>
    </w:p>
    <w:p>
      <w:pPr>
        <w:ind w:left="720" w:right="0"/>
      </w:pPr>
      <w:r>
        <w:rPr>
          <w:rStyle w:val="font_h2"/>
        </w:rPr>
        <w:t xml:space="preserve">4.3. Autocontrole</w:t>
      </w:r>
    </w:p>
    <w:p>
      <w:pPr>
        <w:ind w:left="1440" w:right="0"/>
      </w:pPr>
      <w:r>
        <w:rPr>
          <w:rStyle w:val="font_h3"/>
        </w:rPr>
        <w:t xml:space="preserve">4.3.1. Profilés aluminium</w:t>
      </w:r>
    </w:p>
    <w:p>
      <w:pPr>
        <w:ind w:left="1440" w:right="0"/>
      </w:pPr>
      <w:r>
        <w:rPr>
          <w:rStyle w:val="font_h3"/>
        </w:rPr>
        <w:t xml:space="preserve">4.3.2. Profilés PVC</w:t>
      </w:r>
    </w:p>
    <w:p>
      <w:pPr>
        <w:ind w:left="1440" w:right="0"/>
      </w:pPr>
      <w:r>
        <w:rPr>
          <w:rStyle w:val="font_h3"/>
        </w:rPr>
        <w:t xml:space="preserve">4.3.3. Assemblage profilés alu-PVC</w:t>
      </w:r>
    </w:p>
    <w:p>
      <w:pPr>
        <w:ind w:left="1440" w:right="0"/>
      </w:pPr>
      <w:r>
        <w:rPr>
          <w:rStyle w:val="font_h3"/>
        </w:rPr>
        <w:t xml:space="preserve">4.3.4. Cadre bois</w:t>
      </w:r>
    </w:p>
    <w:p>
      <w:pPr>
        <w:ind w:left="1440" w:right="0"/>
      </w:pPr>
      <w:r>
        <w:rPr>
          <w:rStyle w:val="font_h3"/>
        </w:rPr>
        <w:t xml:space="preserve">4.3.5. Placage bois</w:t>
      </w:r>
    </w:p>
    <w:p>
      <w:pPr>
        <w:ind w:left="1440" w:right="0"/>
      </w:pPr>
      <w:r>
        <w:rPr>
          <w:rStyle w:val="font_h3"/>
        </w:rPr>
        <w:t xml:space="preserve">4.3.6. Collage vitrage</w:t>
      </w:r>
    </w:p>
    <w:p>
      <w:pPr/>
      <w:r>
        <w:rPr>
          <w:rStyle w:val="font_h1"/>
        </w:rPr>
        <w:t xml:space="preserve">5. Mise en œuvre</w:t>
      </w:r>
    </w:p>
    <w:p>
      <w:pPr>
        <w:ind w:left="720" w:right="0"/>
      </w:pPr>
      <w:r>
        <w:rPr>
          <w:rStyle w:val="font_h2"/>
        </w:rPr>
        <w:t xml:space="preserve">5.1. Mise en œuvre</w:t>
      </w:r>
    </w:p>
    <w:p>
      <w:pPr/>
      <w:r>
        <w:rPr/>
        <w:t xml:space="preserve">Validé par le Groupe Spécialisé le 13/03/2025</w:t>
      </w:r>
    </w:p>
    <w:p>
      <w:pPr/>
      <w:r>
        <w:rPr>
          <w:b/>
          <w:bCs/>
        </w:rPr>
        <w:t xml:space="preserve">Description</w:t>
      </w:r>
    </w:p>
    <w:p>
      <w:pPr/>
      <w:r>
        <w:rPr/>
        <w:t xml:space="preserve">Définir les modalités de la mise en oeuvre (nature et positionnement des fixations avec le gros-oeuvre) en fonction des types de pose envisagés. </w:t>
      </w:r>
    </w:p>
    <w:p>
      <w:pPr/>
      <w:r>
        <w:rPr>
          <w:i/>
          <w:iCs/>
        </w:rPr>
        <w:t xml:space="preserve">NB : Se reporter au NF DTU 36.5, e-cahier CSTB 3521 et 3709_V2.</w:t>
      </w:r>
    </w:p>
    <w:p>
      <w:pPr/>
      <w:r>
        <w:rPr>
          <w:b/>
          <w:bCs/>
        </w:rPr>
        <w:t xml:space="preserve">Justification</w:t>
      </w:r>
    </w:p>
    <w:p>
      <w:pPr/>
      <w:r>
        <w:rPr/>
        <w:t xml:space="preserve">Fournir un dossier de plans illustrant toutes les modalités de mise en oeuvre des fenêtres objet de la demande. </w:t>
      </w:r>
    </w:p>
    <w:p>
      <w:pPr/>
      <w:r>
        <w:rPr>
          <w:i/>
          <w:iCs/>
        </w:rPr>
        <w:t xml:space="preserve">NB : Une définition de la trame de ce Dossier Technique ainsi qu’un fichier informatique de situations de pose sont à disposition sur simple demande.</w:t>
      </w:r>
    </w:p>
    <w:p>
      <w:pPr>
        <w:ind w:left="720" w:right="0"/>
      </w:pPr>
      <w:r>
        <w:rPr>
          <w:rStyle w:val="font_h2"/>
        </w:rPr>
        <w:t xml:space="preserve">5.2. Système d'étanchéité</w:t>
      </w:r>
    </w:p>
    <w:p>
      <w:pPr/>
      <w:r>
        <w:rPr/>
        <w:t xml:space="preserve">Validé par le Groupe Spécialisé le 13/03/2025</w:t>
      </w:r>
    </w:p>
    <w:p>
      <w:pPr/>
      <w:r>
        <w:rPr>
          <w:b/>
          <w:bCs/>
        </w:rPr>
        <w:t xml:space="preserve">Description</w:t>
      </w:r>
    </w:p>
    <w:p>
      <w:pPr/>
      <w:r>
        <w:rPr/>
        <w:t xml:space="preserve">Définir les modalités de la mise en oeuvre (nature et positionnement du calfeutrement avec le gros-oeuvre) en fonction des types de pose envisagés.</w:t>
      </w:r>
    </w:p>
    <w:p>
      <w:pPr/>
      <w:r>
        <w:rPr>
          <w:i/>
          <w:iCs/>
        </w:rPr>
        <w:t xml:space="preserve">NB : Se reporter au NF DTU 36.5, e-cahier CSTB 3521 et 3709_V2.</w:t>
      </w:r>
    </w:p>
    <w:p>
      <w:pPr/>
      <w:r>
        <w:rPr>
          <w:b/>
          <w:bCs/>
        </w:rPr>
        <w:t xml:space="preserve">Justification</w:t>
      </w:r>
    </w:p>
    <w:p>
      <w:pPr/>
      <w:r>
        <w:rPr/>
        <w:t xml:space="preserve">Fournir les justificatifs de compatibilité.</w:t>
      </w:r>
    </w:p>
    <w:p>
      <w:pPr>
        <w:ind w:left="720" w:right="0"/>
      </w:pPr>
      <w:r>
        <w:rPr>
          <w:rStyle w:val="font_h2"/>
        </w:rPr>
        <w:t xml:space="preserve">5.3. Nettoyage</w:t>
      </w:r>
    </w:p>
    <w:p>
      <w:pPr/>
      <w:r>
        <w:rPr/>
        <w:t xml:space="preserve">Validé par le Groupe Spécialisé le 02/01/2018</w:t>
      </w:r>
    </w:p>
    <w:p>
      <w:pPr/>
      <w:r>
        <w:rPr>
          <w:b/>
          <w:bCs/>
        </w:rPr>
        <w:t xml:space="preserve">Description</w:t>
      </w:r>
    </w:p>
    <w:p>
      <w:pPr/>
      <w:r>
        <w:rPr/>
        <w:t xml:space="preserve">Fournir (si concerné) la notice d’entretien ainsi que le contrat de maintenance.</w:t>
      </w:r>
    </w:p>
    <w:p>
      <w:pPr>
        <w:ind w:left="720" w:right="0"/>
      </w:pPr>
      <w:r>
        <w:rPr>
          <w:rStyle w:val="font_h2"/>
        </w:rPr>
        <w:t xml:space="preserve">5.4. Accessibilité</w:t>
      </w:r>
    </w:p>
    <w:p>
      <w:pPr/>
      <w:r>
        <w:rPr/>
        <w:t xml:space="preserve">Validé par le Groupe Spécialisé le 07/03/2019</w:t>
      </w:r>
    </w:p>
    <w:p>
      <w:pPr/>
      <w:r>
        <w:rPr>
          <w:b/>
          <w:bCs/>
        </w:rPr>
        <w:t xml:space="preserve">Description</w:t>
      </w:r>
    </w:p>
    <w:p>
      <w:pPr/>
      <w:r>
        <w:rPr/>
        <w:t xml:space="preserve">Hauteur du seuil PMR avec une lèvre souple</w:t>
      </w:r>
    </w:p>
    <w:p>
      <w:pPr/>
      <w:r>
        <w:rPr/>
        <w:t xml:space="preserve">Le GS considère que la hauteur de 20 mm du seuil de menuiserie prévue dans l’arrêté de novembre 2007, incorpore les éventuelles parties souples présentent sur le profil formant seuil.</w:t>
      </w:r>
    </w:p>
    <w:p>
      <w:pPr/>
      <w:r>
        <w:rPr>
          <w:rStyle w:val="font_h1"/>
        </w:rPr>
        <w:t xml:space="preserve">6. Résultats expérimentaux</w:t>
      </w:r>
    </w:p>
    <w:p>
      <w:pPr/>
      <w:r>
        <w:rPr/>
        <w:t xml:space="preserve">Validé par le Groupe Spécialisé le 13/03/2025</w:t>
      </w:r>
    </w:p>
    <w:p>
      <w:pPr/>
      <w:r>
        <w:rPr>
          <w:b/>
          <w:bCs/>
        </w:rPr>
        <w:t xml:space="preserve">Description</w:t>
      </w:r>
    </w:p>
    <w:p>
      <w:pPr/>
      <w:r>
        <w:rPr/>
        <w:t xml:space="preserve">Fournir copie des rapports d’essais de toute nature, en laboratoire ou in situ, sur les constituants ou sur les fenêtres identifiés pouvant apporter justification de l’aptitude à l’emploi du système évalué.</w:t>
      </w:r>
    </w:p>
    <w:p>
      <w:pPr>
        <w:pPr/>
        <w:numPr>
          <w:ilvl w:val="0"/>
          <w:numId w:val="15"/>
        </w:numPr>
      </w:pPr>
      <w:r>
        <w:rPr/>
        <w:t xml:space="preserve">Sur les constituants :</w:t>
      </w:r>
    </w:p>
    <w:p>
      <w:pPr>
        <w:pPr/>
        <w:numPr>
          <w:ilvl w:val="1"/>
          <w:numId w:val="15"/>
        </w:numPr>
      </w:pPr>
      <w:r>
        <w:rPr>
          <w:i/>
          <w:iCs/>
        </w:rPr>
        <w:t xml:space="preserve">profilés PVC (Cf NF EN 12608 + référentiel QB 59) ;</w:t>
      </w:r>
    </w:p>
    <w:p>
      <w:pPr>
        <w:pPr/>
        <w:numPr>
          <w:ilvl w:val="1"/>
          <w:numId w:val="15"/>
        </w:numPr>
      </w:pPr>
      <w:r>
        <w:rPr>
          <w:i/>
          <w:iCs/>
        </w:rPr>
        <w:t xml:space="preserve">profilés aluminium RPT (Cf NF EN 14 024 + référentiel QB 49) ;</w:t>
      </w:r>
    </w:p>
    <w:p>
      <w:pPr>
        <w:pPr/>
        <w:numPr>
          <w:ilvl w:val="1"/>
          <w:numId w:val="15"/>
        </w:numPr>
      </w:pPr>
      <w:r>
        <w:rPr>
          <w:i/>
          <w:iCs/>
        </w:rPr>
        <w:t xml:space="preserve">profilés complémentaires en PVC (Fournir la composition vinylique et un engagement par écrit, sur papier entête du fabricant, de conformité aux spécifications de durabilité de la norme NF T54-405 ou de la norme NF EN 12608 avec en appui de cet engagement les justifications expérimentales (Engagement non nécessaire si la composition matière est certifiée au CSTB)) ;</w:t>
      </w:r>
    </w:p>
    <w:p>
      <w:pPr>
        <w:pPr/>
        <w:numPr>
          <w:ilvl w:val="1"/>
          <w:numId w:val="15"/>
        </w:numPr>
      </w:pPr>
      <w:r>
        <w:rPr>
          <w:i/>
          <w:iCs/>
        </w:rPr>
        <w:t xml:space="preserve">garnitures d’étanchéité (Pour la partie active des profilés (hormis ceux en EPDM) qui assurent une fonction d’étanchéité, leur composition matière doit être conforme au référentiel de certification QB 36) ;</w:t>
      </w:r>
    </w:p>
    <w:p>
      <w:pPr>
        <w:pPr/>
        <w:numPr>
          <w:ilvl w:val="1"/>
          <w:numId w:val="15"/>
        </w:numPr>
      </w:pPr>
      <w:r>
        <w:rPr>
          <w:i/>
          <w:iCs/>
        </w:rPr>
        <w:t xml:space="preserve">accessoires, quincaillerie (Pour les pièces métalliques, fournir les justifications par écrit, sur papier à entête du fabricant, de conformité aux spécifications de résistance à la corrosion de la norme NF EN 1670 (grade 3 minimum).) ;</w:t>
      </w:r>
    </w:p>
    <w:p>
      <w:pPr>
        <w:pPr/>
        <w:numPr>
          <w:ilvl w:val="1"/>
          <w:numId w:val="15"/>
        </w:numPr>
      </w:pPr>
      <w:r>
        <w:rPr>
          <w:i/>
          <w:iCs/>
        </w:rPr>
        <w:t xml:space="preserve">vitrages (Ils doivent bénéficier d’un certificat de qualification.).</w:t>
      </w:r>
    </w:p>
    <w:p>
      <w:pPr>
        <w:pPr/>
        <w:numPr>
          <w:ilvl w:val="0"/>
          <w:numId w:val="15"/>
        </w:numPr>
      </w:pPr>
      <w:r>
        <w:rPr/>
        <w:t xml:space="preserve">Sur les fenêtres :</w:t>
      </w:r>
    </w:p>
    <w:p>
      <w:pPr>
        <w:pPr/>
        <w:numPr>
          <w:ilvl w:val="1"/>
          <w:numId w:val="15"/>
        </w:numPr>
      </w:pPr>
      <w:r>
        <w:rPr>
          <w:i/>
          <w:iCs/>
        </w:rPr>
        <w:t xml:space="preserve">fournir copie des essais AEV, mécaniques spécifiques et endurance à l’ouverture/fermeture réalisés (Cf e-cahier 3706_V2, NF EN 14351-1+A2, NF P 20-501, NF P20-302. NB : performances minimum demandées A2 E5A (ou E5B)VA2.) ;</w:t>
      </w:r>
    </w:p>
    <w:p>
      <w:pPr>
        <w:pPr/>
        <w:numPr>
          <w:ilvl w:val="1"/>
          <w:numId w:val="15"/>
        </w:numPr>
      </w:pPr>
      <w:r>
        <w:rPr>
          <w:i/>
          <w:iCs/>
        </w:rPr>
        <w:t xml:space="preserve">fournir copie des essais de perméabilité à l’air sous gradient de température (si concerné) (Cf NF DTU 36.5 P2 – Annexe A) ;</w:t>
      </w:r>
    </w:p>
    <w:p>
      <w:pPr>
        <w:pPr/>
        <w:numPr>
          <w:ilvl w:val="1"/>
          <w:numId w:val="15"/>
        </w:numPr>
      </w:pPr>
      <w:r>
        <w:rPr>
          <w:i/>
          <w:iCs/>
        </w:rPr>
        <w:t xml:space="preserve">fournir les calculs thermiques (Cf Règles Th-Bât Fascicule Parois vitrées RE2020) ;</w:t>
      </w:r>
    </w:p>
    <w:p>
      <w:pPr>
        <w:pPr/>
        <w:numPr>
          <w:ilvl w:val="1"/>
          <w:numId w:val="15"/>
        </w:numPr>
      </w:pPr>
      <w:r>
        <w:rPr>
          <w:i/>
          <w:iCs/>
        </w:rPr>
        <w:t xml:space="preserve">fournir les dispositions pour l’intégration d’entrée d’air (Cf e-cahier 3376_V3).</w:t>
      </w:r>
    </w:p>
    <w:p>
      <w:pPr/>
      <w:r>
        <w:rPr/>
        <w:t xml:space="preserve">Fournir copie de rapport d’essais sur produit de calfeutrement ayant fait l’objet d’essais satisfaisants de compatibilité – cohésion/adhésion sur les profilés et accessoires en contact </w:t>
      </w:r>
      <w:r>
        <w:rPr>
          <w:i/>
          <w:iCs/>
        </w:rPr>
        <w:t xml:space="preserve">(CF NF P 85-504 ou NF EN ISO 8339).</w:t>
      </w:r>
    </w:p>
    <w:p>
      <w:pPr/>
      <w:r>
        <w:rPr/>
        <w:t xml:space="preserve">Établir le lien avec ATEc et/ou DTA déjà délivrés au bénéfice du demandeur.</w:t>
      </w:r>
    </w:p>
    <w:p>
      <w:pPr/>
      <w:r>
        <w:rPr/>
        <w:t xml:space="preserve">Présenter les évolutions du système depuis sa création.</w:t>
      </w:r>
    </w:p>
    <w:p>
      <w:pPr/>
      <w:r>
        <w:rPr/>
        <w:t xml:space="preserve">Préciser si le système fait (ou fera) l’objet d’une fabrication certifiée au titre du référentiel NF 220.</w:t>
      </w:r>
    </w:p>
    <w:p>
      <w:pPr/>
      <w:r>
        <w:rPr>
          <w:rStyle w:val="font_h1"/>
        </w:rPr>
        <w:t xml:space="preserve">7. Références de chantier</w:t>
      </w:r>
    </w:p>
    <w:p>
      <w:pPr/>
      <w:r>
        <w:rPr/>
        <w:t xml:space="preserve">Validé par le Groupe Spécialisé le 02/01/2018</w:t>
      </w:r>
    </w:p>
    <w:p>
      <w:pPr/>
      <w:r>
        <w:rPr>
          <w:b/>
          <w:bCs/>
        </w:rPr>
        <w:t xml:space="preserve">Description</w:t>
      </w:r>
    </w:p>
    <w:p>
      <w:pPr/>
      <w:r>
        <w:rPr/>
        <w:t xml:space="preserve">Lister les chantiers de références avec date de fabrication :</w:t>
      </w:r>
    </w:p>
    <w:p>
      <w:pPr>
        <w:pPr/>
        <w:numPr>
          <w:ilvl w:val="0"/>
          <w:numId w:val="16"/>
        </w:numPr>
      </w:pPr>
      <w:r>
        <w:rPr/>
        <w:t xml:space="preserve">localiser et préciser les situations de pose ;</w:t>
      </w:r>
    </w:p>
    <w:p>
      <w:pPr>
        <w:pPr/>
        <w:numPr>
          <w:ilvl w:val="0"/>
          <w:numId w:val="16"/>
        </w:numPr>
      </w:pPr>
      <w:r>
        <w:rPr/>
        <w:t xml:space="preserve">identifier les types de menuiseries ;</w:t>
      </w:r>
    </w:p>
    <w:p>
      <w:pPr>
        <w:pPr/>
        <w:numPr>
          <w:ilvl w:val="0"/>
          <w:numId w:val="16"/>
        </w:numPr>
      </w:pPr>
      <w:r>
        <w:rPr/>
        <w:t xml:space="preserve">préciser les contacts susceptibles d’assister une visite chantier.</w:t>
      </w:r>
    </w:p>
    <w:p>
      <w:pPr/>
      <w:r>
        <w:rPr>
          <w:rStyle w:val="font_h1"/>
        </w:rPr>
        <w:t xml:space="preserve">8. Jurisprudences</w:t>
      </w:r>
    </w:p>
    <w:p>
      <w:pPr>
        <w:ind w:left="720" w:right="0"/>
      </w:pPr>
      <w:r>
        <w:rPr>
          <w:rStyle w:val="font_h2"/>
        </w:rPr>
        <w:t xml:space="preserve">8.1. 2017 (02) Position du GS sur les dossiers de suivi des fenêtres respirantes</w:t>
      </w:r>
    </w:p>
    <w:p>
      <w:pPr/>
      <w:r>
        <w:rPr/>
        <w:t xml:space="preserve">Validé par le Groupe Spécialisé le 02/01/2018</w:t>
      </w:r>
    </w:p>
    <w:p>
      <w:pPr/>
      <w:r>
        <w:rPr>
          <w:b/>
          <w:bCs/>
        </w:rPr>
        <w:t xml:space="preserve">Description</w:t>
      </w:r>
    </w:p>
    <w:p>
      <w:pPr/>
      <w:r>
        <w:rPr/>
        <w:t xml:space="preserve">Il sera précisé sur la première page des DTA, par un encart, ainsi que dans les remarques complémentaires du Groupe Spécialisé, que seules les unités de fabrication bénéficiant d’un suivi « pass respirant » pourront se prévaloir du DTA.De plus, en l’absence de mesure de la perméabilité à l’air de la paroi intérieure, la valeur par défaut de débit de 0,5 m3/ (h.m2) sous 150 Pa sera considérée comme l’exigence maximale de débit de fuite à l’air dans le cadre des essais de contrôle à réaliser en usine.</w:t>
      </w:r>
    </w:p>
    <w:p>
      <w:pPr>
        <w:ind w:left="720" w:right="0"/>
      </w:pPr>
      <w:r>
        <w:rPr>
          <w:rStyle w:val="font_h2"/>
        </w:rPr>
        <w:t xml:space="preserve">8.2. 2017 (03) Position du GS sur les dossiers de suivi des fenêtres respirantes</w:t>
      </w:r>
    </w:p>
    <w:p>
      <w:pPr/>
      <w:r>
        <w:rPr/>
        <w:t xml:space="preserve">Validé par le Groupe Spécialisé le 02/01/2018</w:t>
      </w:r>
    </w:p>
    <w:p>
      <w:pPr/>
      <w:r>
        <w:rPr>
          <w:b/>
          <w:bCs/>
        </w:rPr>
        <w:t xml:space="preserve">Description</w:t>
      </w:r>
    </w:p>
    <w:p>
      <w:pPr/>
      <w:r>
        <w:rPr/>
        <w:t xml:space="preserve">La mise en application des dispositions de contrôles en production et de suivi des unités de fabrication des fenêtres respirantes sous DTA, selon les critères définis dans le cahier CSTB 3759, a été acté, elle est d’application effective depuis le 1er mars 2017.</w:t>
      </w:r>
    </w:p>
    <w:p>
      <w:pPr>
        <w:ind w:left="720" w:right="0"/>
      </w:pPr>
      <w:r>
        <w:rPr>
          <w:rStyle w:val="font_h2"/>
        </w:rPr>
        <w:t xml:space="preserve">8.3. 2017 (03) Position du GS pour les systèmes de « panneaux de remplissage »</w:t>
      </w:r>
    </w:p>
    <w:p>
      <w:pPr/>
      <w:r>
        <w:rPr/>
        <w:t xml:space="preserve">Validé par le Groupe Spécialisé le 02/01/2018</w:t>
      </w:r>
    </w:p>
    <w:p>
      <w:pPr/>
      <w:r>
        <w:rPr>
          <w:b/>
          <w:bCs/>
        </w:rPr>
        <w:t xml:space="preserve">Description</w:t>
      </w:r>
    </w:p>
    <w:p>
      <w:pPr/>
      <w:r>
        <w:rPr/>
        <w:t xml:space="preserve">Le Groupe Spécialisé n°6 confirme la nécessité d’une identification visuelle pour chaque panneau conforme à l’Avis technique.Cette identification doit inclure la référence à l’Avis technique (via le logo de la CCFAT).</w:t>
      </w:r>
    </w:p>
    <w:p>
      <w:pPr>
        <w:ind w:left="720" w:right="0"/>
      </w:pPr>
      <w:r>
        <w:rPr>
          <w:rStyle w:val="font_h2"/>
        </w:rPr>
        <w:t xml:space="preserve">8.4. 2017 (06) Position du GS pour les travaux de rénovations sur dormants existants</w:t>
      </w:r>
    </w:p>
    <w:p>
      <w:pPr/>
      <w:r>
        <w:rPr/>
        <w:t xml:space="preserve">Validé par le Groupe Spécialisé le 28/09/2017</w:t>
      </w:r>
    </w:p>
    <w:p>
      <w:pPr/>
      <w:r>
        <w:rPr>
          <w:b/>
          <w:bCs/>
        </w:rPr>
        <w:t xml:space="preserve">Description</w:t>
      </w:r>
    </w:p>
    <w:p>
      <w:pPr/>
      <w:r>
        <w:rPr/>
        <w:t xml:space="preserve">Le GS est très réservé sur les possibilités de rénovation avec conservation d’anciens dormants PVC ou aluminium, pour les raisons suivantes :</w:t>
      </w:r>
    </w:p>
    <w:p>
      <w:pPr>
        <w:pPr/>
        <w:numPr>
          <w:ilvl w:val="0"/>
          <w:numId w:val="17"/>
        </w:numPr>
      </w:pPr>
      <w:r>
        <w:rPr/>
        <w:t xml:space="preserve">difficulté de connaitre vraiment l’état des pattes de fixation,</w:t>
      </w:r>
    </w:p>
    <w:p>
      <w:pPr>
        <w:pPr/>
        <w:numPr>
          <w:ilvl w:val="0"/>
          <w:numId w:val="17"/>
        </w:numPr>
      </w:pPr>
      <w:r>
        <w:rPr/>
        <w:t xml:space="preserve">solution thermiquement très difficile à réaliser correctement vis-à-vis de la liaison entre le nouveau et l’ancien dormant,</w:t>
      </w:r>
    </w:p>
    <w:p>
      <w:pPr>
        <w:pPr/>
        <w:numPr>
          <w:ilvl w:val="0"/>
          <w:numId w:val="17"/>
        </w:numPr>
      </w:pPr>
      <w:r>
        <w:rPr/>
        <w:t xml:space="preserve">connaissance très difficile des matières PVC des anciens dormants et de leur état de conservation,</w:t>
      </w:r>
    </w:p>
    <w:p>
      <w:pPr>
        <w:pPr/>
        <w:numPr>
          <w:ilvl w:val="0"/>
          <w:numId w:val="17"/>
        </w:numPr>
      </w:pPr>
      <w:r>
        <w:rPr/>
        <w:t xml:space="preserve">compatibilité de ces matières avec les mastics de calfeutrement à utiliser,</w:t>
      </w:r>
    </w:p>
    <w:p>
      <w:pPr>
        <w:pPr/>
        <w:numPr>
          <w:ilvl w:val="0"/>
          <w:numId w:val="17"/>
        </w:numPr>
      </w:pPr>
      <w:r>
        <w:rPr/>
        <w:t xml:space="preserve">difficulté pour conserver le clair de vitrage.</w:t>
      </w:r>
    </w:p>
    <w:p>
      <w:pPr>
        <w:ind w:left="720" w:right="0"/>
      </w:pPr>
      <w:r>
        <w:rPr>
          <w:rStyle w:val="font_h2"/>
        </w:rPr>
        <w:t xml:space="preserve">8.5. 2017 (10) Recouvrement minimum en cas de pose ITE</w:t>
      </w:r>
    </w:p>
    <w:p>
      <w:pPr/>
      <w:r>
        <w:rPr/>
        <w:t xml:space="preserve">Validé par le Groupe Spécialisé le 02/01/2018</w:t>
      </w:r>
    </w:p>
    <w:p>
      <w:pPr/>
      <w:r>
        <w:rPr>
          <w:b/>
          <w:bCs/>
        </w:rPr>
        <w:t xml:space="preserve">Description</w:t>
      </w:r>
    </w:p>
    <w:p>
      <w:pPr/>
      <w:r>
        <w:rPr/>
        <w:t xml:space="preserve">Recouvrement minimum en cas de pose ITE :</w:t>
      </w:r>
    </w:p>
    <w:p>
      <w:pPr/>
      <w:r>
        <w:rPr/>
        <w:t xml:space="preserve">Dans le cas d'une pose de fenêtres en applique extérieure avec une ITE, la largeur disponible sur le dormant vis-à-vis du gros oeuvre doit être au minimum de 28mm. Il conviendra de vérifier que les dormants et autres fourrures d'épaisseurs permettent de satisfaire cette exigence.</w:t>
      </w:r>
    </w:p>
    <w:p>
      <w:pPr>
        <w:ind w:left="720" w:right="0"/>
      </w:pPr>
      <w:r>
        <w:rPr>
          <w:rStyle w:val="font_h2"/>
        </w:rPr>
        <w:t xml:space="preserve">8.6. 2017 (12) Mise en œuvre ITE</w:t>
      </w:r>
    </w:p>
    <w:p>
      <w:pPr/>
      <w:r>
        <w:rPr/>
        <w:t xml:space="preserve">Validé par le Groupe Spécialisé le 02/01/2018</w:t>
      </w:r>
    </w:p>
    <w:p>
      <w:pPr/>
      <w:r>
        <w:rPr>
          <w:b/>
          <w:bCs/>
        </w:rPr>
        <w:t xml:space="preserve">Description</w:t>
      </w:r>
    </w:p>
    <w:p>
      <w:pPr/>
      <w:r>
        <w:rPr/>
        <w:t xml:space="preserve">Mise en œuvre ITE : Il sera précisé sur les schémas de mise en œuvre ITE que l'ETICS devra être conforme au guide de préconisation "Protection contre l’incendie des façades béton ou maçonnerie revêtues de systèmes d’isolation thermique extérieure par enduit sur polystyrène expansé (ETICS-PSE)" d'avril 2016.</w:t>
      </w:r>
    </w:p>
    <w:p>
      <w:pPr>
        <w:ind w:left="720" w:right="0"/>
      </w:pPr>
      <w:r>
        <w:rPr>
          <w:rStyle w:val="font_h2"/>
        </w:rPr>
        <w:t xml:space="preserve">8.7. 2017 (12) Risques sismiques</w:t>
      </w:r>
    </w:p>
    <w:p>
      <w:pPr/>
      <w:r>
        <w:rPr/>
        <w:t xml:space="preserve">Validé par le Groupe Spécialisé le 02/01/2018</w:t>
      </w:r>
    </w:p>
    <w:p>
      <w:pPr/>
      <w:r>
        <w:rPr>
          <w:b/>
          <w:bCs/>
        </w:rPr>
        <w:t xml:space="preserve">Description</w:t>
      </w:r>
    </w:p>
    <w:p>
      <w:pPr/>
      <w:r>
        <w:rPr/>
        <w:t xml:space="preserve">Risques sismiques : La phrase suivante sera ajoutée aux DTA :"Le présent système ne présentant pas d'éléments de remplissage supérieurs à 4 m², il n'y a pas lieu d'apporter de justifications particulières (conformément au "Guide de dimensionnement parasismique des élément non structuraux du cadre bâti" de septembre 2014).".Dans les cas où le système présenterait des remplissages de dimensions supérieures, le paragraphe sera adapté.</w:t>
      </w:r>
    </w:p>
    <w:p>
      <w:pPr>
        <w:ind w:left="720" w:right="0"/>
      </w:pPr>
      <w:r>
        <w:rPr>
          <w:rStyle w:val="font_h2"/>
        </w:rPr>
        <w:t xml:space="preserve">8.8. 2017 (12) Opportunité de suivi de la qualité en usine des seuils PMR</w:t>
      </w:r>
    </w:p>
    <w:p>
      <w:pPr/>
      <w:r>
        <w:rPr/>
        <w:t xml:space="preserve">Validé par le Groupe Spécialisé le 02/01/2018</w:t>
      </w:r>
    </w:p>
    <w:p>
      <w:pPr/>
      <w:r>
        <w:rPr>
          <w:b/>
          <w:bCs/>
        </w:rPr>
        <w:t xml:space="preserve">Description</w:t>
      </w:r>
    </w:p>
    <w:p>
      <w:pPr/>
      <w:r>
        <w:rPr/>
        <w:t xml:space="preserve">Opportunité de suivi de la qualité en usine des seuils PMR :Le GS6 se prononce favorablement quant à un suivi de la qualité en usine des seuils PMR mixtes (hors seuil aluminium RPT, qui font déjà l'objet d'un suivi dans le cadre de la marque NF 252).Le CSTB proposera des modalités de suivi et les critères d'acceptation des caractéristiques suivies devront être débattus en GS6.</w:t>
      </w:r>
    </w:p>
    <w:p>
      <w:pPr>
        <w:ind w:left="720" w:right="0"/>
      </w:pPr>
      <w:r>
        <w:rPr>
          <w:rStyle w:val="font_h2"/>
        </w:rPr>
        <w:t xml:space="preserve">8.9. 2018 (03) Risques de propagation du feu par la façade dans le cas des fenêtres mises en œuvre en applique extérieure</w:t>
      </w:r>
    </w:p>
    <w:p>
      <w:pPr/>
      <w:r>
        <w:rPr/>
        <w:t xml:space="preserve">Validé par le Groupe Spécialisé le 15/03/2018</w:t>
      </w:r>
    </w:p>
    <w:p>
      <w:pPr/>
      <w:r>
        <w:rPr>
          <w:b/>
          <w:bCs/>
        </w:rPr>
        <w:t xml:space="preserve">Description</w:t>
      </w:r>
    </w:p>
    <w:p>
      <w:pPr/>
      <w:r>
        <w:rPr/>
        <w:t xml:space="preserve">Risques de propagation du feu par la façade dans le cas des fenêtres mises en œuvre en applique extérieure : Dans le cas de mise en œuvre en applique extérieure, le domaine d’emploi exclura les ouvrages prévus dans les préconisations des guides « Protection contre l’incendie des façades béton ou maçonnerie revêtues de systèmes d’isolation thermique extérieure par enduit sur polystyrène expansé (ETICS-PSE) – avril 2016 » et « Protection contre l’incendie des façades béton ou maçonnerie revêtues de systèmes d’isolation thermique extérieure par bardage rapporté ventilé – Septembre 2017». Cette limitation du domaine d’emploi pourra être levée si le système de fenêtre bénéficie d’un Avis de Laboratoire explicitant clairement les conditions d’emploi ou si les préconisations des guides évoluent afin de prendre en compte la mise en œuvre en applique extérieure des fenêtres.</w:t>
      </w:r>
    </w:p>
    <w:p>
      <w:pPr>
        <w:ind w:left="720" w:right="0"/>
      </w:pPr>
      <w:r>
        <w:rPr>
          <w:rStyle w:val="font_h2"/>
        </w:rPr>
        <w:t xml:space="preserve">8.10. 2018 (03) RUP et TOM</w:t>
      </w:r>
    </w:p>
    <w:p>
      <w:pPr/>
      <w:r>
        <w:rPr/>
        <w:t xml:space="preserve">Validé par le Groupe Spécialisé le 15/03/2018</w:t>
      </w:r>
    </w:p>
    <w:p>
      <w:pPr/>
      <w:r>
        <w:rPr>
          <w:b/>
          <w:bCs/>
        </w:rPr>
        <w:t xml:space="preserve">Description</w:t>
      </w:r>
    </w:p>
    <w:p>
      <w:pPr/>
      <w:r>
        <w:rPr/>
        <w:t xml:space="preserve">RUP et TOM :Le GS rappelle que pour se prévaloir du domaine d’emploi dans les RUP et PTOM, il faut que la durabilité de la matière PVC ou de son revêtement (cas du plaxage ou de la laque) soit justifiée par des résultats d’essais satisfaisants en vieillissement artificiel après 6000H au WOM climat M méthode A cycle 1 de la NF EN 4892.</w:t>
      </w:r>
    </w:p>
    <w:p>
      <w:pPr>
        <w:ind w:left="720" w:right="0"/>
      </w:pPr>
      <w:r>
        <w:rPr>
          <w:rStyle w:val="font_h2"/>
        </w:rPr>
        <w:t xml:space="preserve">8.11. 2018 (04) Dimensions des calfeutrements</w:t>
      </w:r>
    </w:p>
    <w:p>
      <w:pPr/>
      <w:r>
        <w:rPr/>
        <w:t xml:space="preserve">Validé par le Groupe Spécialisé le 25/04/2018</w:t>
      </w:r>
    </w:p>
    <w:p>
      <w:pPr/>
      <w:r>
        <w:rPr>
          <w:b/>
          <w:bCs/>
        </w:rPr>
        <w:t xml:space="preserve">Description</w:t>
      </w:r>
    </w:p>
    <w:p>
      <w:pPr/>
      <w:r>
        <w:rPr/>
        <w:t xml:space="preserve">Modification de la jurisprudence de 2013 (06). En cas de pose en tunnel ou en rénovation avec conservation des dormants, les dormants de la nouvelle fenêtre doivent présenter une surface plane parallèle au gros œuvre ou à l’ancien dormant permettant la mise en place du calfeutrement. La dimension de cette zone de calfeutrement doit être supérieure ou égale à 10 mm. Une dimension inférieure, même avec limitation du domaine d’emploi n’est pas acceptable, car peu réaliste vis-à-vis des conditions de chantier. Cette jurisprudence s’appliquera pour les nouveaux DTA. Il conviendra de publier les plans de mise en œuvre dans le cas suivant :</w:t>
      </w:r>
    </w:p>
    <w:p>
      <w:pPr>
        <w:pPr/>
        <w:numPr>
          <w:ilvl w:val="0"/>
          <w:numId w:val="18"/>
        </w:numPr>
      </w:pPr>
      <w:r>
        <w:rPr/>
        <w:t xml:space="preserve">Un profilé complémentaire est nécessaire afin de réaliser une zone de calfeutrement d'au moins 10 mm</w:t>
      </w:r>
    </w:p>
    <w:p>
      <w:pPr>
        <w:ind w:left="720" w:right="0"/>
      </w:pPr>
      <w:r>
        <w:rPr>
          <w:rStyle w:val="font_h2"/>
        </w:rPr>
        <w:t xml:space="preserve">8.12. 2018 (04) Systèmes de fenêtre comportant des éléments de menuiserie sans rupture thermique et/ou avec risque de condensation</w:t>
      </w:r>
    </w:p>
    <w:p>
      <w:pPr/>
      <w:r>
        <w:rPr/>
        <w:t xml:space="preserve">Validé par le Groupe Spécialisé le 25/04/2018</w:t>
      </w:r>
    </w:p>
    <w:p>
      <w:pPr/>
      <w:r>
        <w:rPr>
          <w:b/>
          <w:bCs/>
        </w:rPr>
        <w:t xml:space="preserve">Description</w:t>
      </w:r>
    </w:p>
    <w:p>
      <w:pPr/>
      <w:r>
        <w:rPr/>
        <w:t xml:space="preserve">Systèmes de fenêtre comportant des éléments de menuiserie sans rupture thermique et/ou avec risque de condensation :</w:t>
      </w:r>
    </w:p>
    <w:p>
      <w:pPr/>
      <w:r>
        <w:rPr/>
        <w:t xml:space="preserve">Le GS6 a analysé différents cas et conclue que les dispositions suivantes ne seront plus acceptées sans des justifications hygro-thermiques spécifiques :</w:t>
      </w:r>
    </w:p>
    <w:p>
      <w:pPr>
        <w:pPr/>
        <w:numPr>
          <w:ilvl w:val="0"/>
          <w:numId w:val="19"/>
        </w:numPr>
      </w:pPr>
      <w:r>
        <w:rPr/>
        <w:t xml:space="preserve">Seuils aluminium sans rupteur thermique</w:t>
      </w:r>
    </w:p>
    <w:p>
      <w:pPr>
        <w:pPr/>
        <w:numPr>
          <w:ilvl w:val="0"/>
          <w:numId w:val="19"/>
        </w:numPr>
      </w:pPr>
      <w:r>
        <w:rPr/>
        <w:t xml:space="preserve">Chicanes de coulissant sans rupteur thermique</w:t>
      </w:r>
    </w:p>
    <w:p>
      <w:pPr>
        <w:pPr/>
        <w:numPr>
          <w:ilvl w:val="0"/>
          <w:numId w:val="19"/>
        </w:numPr>
      </w:pPr>
      <w:r>
        <w:rPr/>
        <w:t xml:space="preserve">Poignée de manœuvre traversante sans rupteur thermique</w:t>
      </w:r>
    </w:p>
    <w:p>
      <w:pPr>
        <w:pPr/>
        <w:numPr>
          <w:ilvl w:val="0"/>
          <w:numId w:val="19"/>
        </w:numPr>
      </w:pPr>
      <w:r>
        <w:rPr/>
        <w:t xml:space="preserve">Profilé d'ouvrant sans rupteur thermique en contact directe avec le battement extérieur métallique</w:t>
      </w:r>
    </w:p>
    <w:p>
      <w:pPr>
        <w:pPr/>
        <w:numPr>
          <w:ilvl w:val="0"/>
          <w:numId w:val="19"/>
        </w:numPr>
      </w:pPr>
      <w:r>
        <w:rPr/>
        <w:t xml:space="preserve">Profilé de coffre traversant sans rupteur thermique</w:t>
      </w:r>
    </w:p>
    <w:p>
      <w:pPr>
        <w:ind w:left="720" w:right="0"/>
      </w:pPr>
      <w:r>
        <w:rPr>
          <w:rStyle w:val="font_h2"/>
        </w:rPr>
        <w:t xml:space="preserve">8.13. 2018 (10) Calfeutrement sur barrette pour coupure thermique</w:t>
      </w:r>
    </w:p>
    <w:p>
      <w:pPr/>
      <w:r>
        <w:rPr/>
        <w:t xml:space="preserve">Validé par le Groupe Spécialisé le 13/12/2018</w:t>
      </w:r>
    </w:p>
    <w:p>
      <w:pPr/>
      <w:r>
        <w:rPr>
          <w:b/>
          <w:bCs/>
        </w:rPr>
        <w:t xml:space="preserve">Description</w:t>
      </w:r>
    </w:p>
    <w:p>
      <w:pPr/>
      <w:r>
        <w:rPr/>
        <w:t xml:space="preserve">La jurisprudence proposée lors du dernier GS6 est modifiée comme suit :"Lorsque le calfeutrement avec mastic est effectué sur des barrettes pour coupure thermique, celles-ci doivent être brutes (pas sur le laquage) sauf justification particulière".</w:t>
      </w:r>
    </w:p>
    <w:p>
      <w:pPr>
        <w:ind w:left="720" w:right="0"/>
      </w:pPr>
      <w:r>
        <w:rPr>
          <w:rStyle w:val="font_h2"/>
        </w:rPr>
        <w:t xml:space="preserve">8.14. 2018 (12) Pièces en impression 3D</w:t>
      </w:r>
    </w:p>
    <w:p>
      <w:pPr/>
      <w:r>
        <w:rPr/>
        <w:t xml:space="preserve">Validé par le Groupe Spécialisé le 07/03/2019</w:t>
      </w:r>
    </w:p>
    <w:p>
      <w:pPr/>
      <w:r>
        <w:rPr>
          <w:b/>
          <w:bCs/>
        </w:rPr>
        <w:t xml:space="preserve">Description</w:t>
      </w:r>
    </w:p>
    <w:p>
      <w:pPr/>
      <w:r>
        <w:rPr/>
        <w:t xml:space="preserve">Concernant les pièces réalisées en impression 3D, il sera systématiquement demandé une identification du couple matière/machine d’impression pour chaque pièce. Ces informations ne seront pas publiées dans le DTA mais archivées dans le dossier d’instruction.</w:t>
      </w:r>
    </w:p>
    <w:p>
      <w:pPr>
        <w:ind w:left="720" w:right="0"/>
      </w:pPr>
      <w:r>
        <w:rPr>
          <w:rStyle w:val="font_h2"/>
        </w:rPr>
        <w:t xml:space="preserve">8.15. 2019 (03) Domaine d'emploi et dimensions du système</w:t>
      </w:r>
    </w:p>
    <w:p>
      <w:pPr/>
      <w:r>
        <w:rPr/>
        <w:t xml:space="preserve">Validé par le Groupe Spécialisé le 07/03/2019</w:t>
      </w:r>
    </w:p>
    <w:p>
      <w:pPr/>
      <w:r>
        <w:rPr>
          <w:b/>
          <w:bCs/>
        </w:rPr>
        <w:t xml:space="preserve">Description</w:t>
      </w:r>
    </w:p>
    <w:p>
      <w:pPr/>
      <w:r>
        <w:rPr/>
        <w:t xml:space="preserve">Il sera désormais indiqué dans le paragraphe 2.1 Domaine d’emploi accepté des DTA, que « Le domaine d’emploi est prévu pour les dimensions indiquées dans le § Dimensions maximales du dossier technique établi par le demandeur. ».</w:t>
      </w:r>
    </w:p>
    <w:p>
      <w:pPr/>
      <w:r>
        <w:rPr/>
        <w:t xml:space="preserve">Pour les systèmes le permettant, il sera ajouté la mention « Pour les fabrications certifiées, des dimensions supérieures peuvent être envisagées. Elles sont alors précisées dans le Certificat de Qualification attribué au menuisier. ».</w:t>
      </w:r>
    </w:p>
    <w:p>
      <w:pPr>
        <w:ind w:left="720" w:right="0"/>
      </w:pPr>
      <w:r>
        <w:rPr>
          <w:rStyle w:val="font_h2"/>
        </w:rPr>
        <w:t xml:space="preserve">8.16. 2019 (04) Conditions de dérogations du FD DTU 39 P5</w:t>
      </w:r>
    </w:p>
    <w:p>
      <w:pPr/>
      <w:r>
        <w:rPr/>
        <w:t xml:space="preserve">Validé par le Groupe Spécialisé le 11/04/2019</w:t>
      </w:r>
    </w:p>
    <w:p>
      <w:pPr/>
      <w:r>
        <w:rPr>
          <w:b/>
          <w:bCs/>
        </w:rPr>
        <w:t xml:space="preserve">Description</w:t>
      </w:r>
    </w:p>
    <w:p>
      <w:pPr/>
      <w:r>
        <w:rPr/>
        <w:t xml:space="preserve">Conditions de dérogations possibles au tableau 1 du FD DTU 39 P5 pour la hauteur minimale de prise en feuillure de 15 mm sur seulement 3 côtés.</w:t>
      </w:r>
    </w:p>
    <w:p>
      <w:pPr/>
      <w:r>
        <w:rPr/>
        <w:t xml:space="preserve">Il pourra être utilisé le principe du tableau 1 du FP DTU 39 P5, pour des fenêtres comportant une traverse intermédiaire avec une prise en feuillure inférieure à 15 mm si des essais satisfaisants ont été menés dans le cadre de l’instruction de la demande de DTA du système de fenêtre.</w:t>
      </w:r>
    </w:p>
    <w:p>
      <w:pPr>
        <w:ind w:left="720" w:right="0"/>
      </w:pPr>
      <w:r>
        <w:rPr>
          <w:rStyle w:val="font_h2"/>
        </w:rPr>
        <w:t xml:space="preserve">8.17. 2020 (02) Prise en feuillure du vitrage pour assurer la sécurité aux chutes des personnes</w:t>
      </w:r>
    </w:p>
    <w:p>
      <w:pPr/>
      <w:r>
        <w:rPr/>
        <w:t xml:space="preserve">Validé par le Groupe Spécialisé le 25/06/2020</w:t>
      </w:r>
    </w:p>
    <w:p>
      <w:pPr/>
      <w:r>
        <w:rPr>
          <w:b/>
          <w:bCs/>
        </w:rPr>
        <w:t xml:space="preserve">Description</w:t>
      </w:r>
    </w:p>
    <w:p>
      <w:pPr/>
      <w:r>
        <w:rPr/>
        <w:t xml:space="preserve">Après analyse de l’évolution du DTU 39 P5 en séance, le GS6 conserve la jurisprudence de juin 2015 concernant la sécurité aux chutes des personnes nommée ci-après :« 2015 (06) Prise en feuillure des vitrages intervenant dans la sécurité aux chutes des personnes »Lorsque les feuillures d’ouvrant ou dormant ne répondent pas aux exigences du DTU 39 P5 § 4.2.3 , la remarque suivante, sera ajoutée au § 2.1 Domaine d’emploi accepté de la partie Avis du DTA : « Le système tel que décrit dans le Dossier Technique ne répond pas aux exigences du DTU 39 P5 § 4.2.3, vis-à-vis de la sécurité aux chutes des personnes. ».</w:t>
      </w:r>
    </w:p>
    <w:p>
      <w:pPr>
        <w:ind w:left="720" w:right="0"/>
      </w:pPr>
      <w:r>
        <w:rPr>
          <w:rStyle w:val="font_h2"/>
        </w:rPr>
        <w:t xml:space="preserve">8.18. 2020 (02) Système ne disposant pas de solution d’entrée d’air</w:t>
      </w:r>
    </w:p>
    <w:p>
      <w:pPr/>
      <w:r>
        <w:rPr/>
        <w:t xml:space="preserve">Validé par le Groupe Spécialisé le 25/06/2020</w:t>
      </w:r>
    </w:p>
    <w:p>
      <w:pPr/>
      <w:r>
        <w:rPr>
          <w:b/>
          <w:bCs/>
        </w:rPr>
        <w:t xml:space="preserve">Description</w:t>
      </w:r>
    </w:p>
    <w:p>
      <w:pPr/>
      <w:r>
        <w:rPr/>
        <w:t xml:space="preserve">Lorsque le système ne dispose pas de solution d’entrée d’air, il devra être indiqué dans le paragraphe domaine d’emploi de la partie Avis et dans les remarques complémentaires du GS la phrase suivante : « Les pièces principales d’habitation et d’hébergement doivent être munies d’entrées d’air ou d’un dispositif de ventilation double flux pour que les fenêtres et portes-fenêtres puissent y être installées ».</w:t>
      </w:r>
    </w:p>
    <w:p>
      <w:pPr>
        <w:ind w:left="720" w:right="0"/>
      </w:pPr>
      <w:r>
        <w:rPr>
          <w:rStyle w:val="font_h2"/>
        </w:rPr>
        <w:t xml:space="preserve">8.19. 2020 (02) Prise en compte de la déformation des planchers béton</w:t>
      </w:r>
    </w:p>
    <w:p>
      <w:pPr/>
      <w:r>
        <w:rPr/>
        <w:t xml:space="preserve">Validé par le Groupe Spécialisé le 25/06/2020</w:t>
      </w:r>
    </w:p>
    <w:p>
      <w:pPr/>
      <w:r>
        <w:rPr>
          <w:b/>
          <w:bCs/>
        </w:rPr>
        <w:t xml:space="preserve">Description</w:t>
      </w:r>
    </w:p>
    <w:p>
      <w:pPr/>
      <w:r>
        <w:rPr/>
        <w:t xml:space="preserve">Pour les systèmes coulissants supérieurs à 4 m de largeur, il conviendra :</w:t>
      </w:r>
    </w:p>
    <w:p>
      <w:pPr>
        <w:pPr/>
        <w:numPr>
          <w:ilvl w:val="0"/>
          <w:numId w:val="20"/>
        </w:numPr>
      </w:pPr>
      <w:r>
        <w:rPr/>
        <w:t xml:space="preserve">soit de justifier que la déformation des planchers haut et bas est inférieure ou égale à 1 mm, le plancher est alors considéré comme « infiniment » rigide ;</w:t>
      </w:r>
    </w:p>
    <w:p>
      <w:pPr>
        <w:pPr/>
        <w:numPr>
          <w:ilvl w:val="0"/>
          <w:numId w:val="20"/>
        </w:numPr>
      </w:pPr>
      <w:r>
        <w:rPr/>
        <w:t xml:space="preserve">soit de mener une étude et de donner un recouvrement minimum.</w:t>
      </w:r>
    </w:p>
    <w:p>
      <w:pPr/>
      <w:r>
        <w:rPr/>
        <w:t xml:space="preserve">Ces informations seront inscrites dans les paragraphes domaine d’emploi, prescriptions techniques et remarques complémentaires du GS.</w:t>
      </w:r>
    </w:p>
    <w:p>
      <w:pPr>
        <w:ind w:left="720" w:right="0"/>
      </w:pPr>
      <w:r>
        <w:rPr>
          <w:rStyle w:val="font_h2"/>
        </w:rPr>
        <w:t xml:space="preserve">8.20. 2020 (02) Présentation des premières conclusions du groupe de travail sur la simplification des DTA</w:t>
      </w:r>
    </w:p>
    <w:p>
      <w:pPr/>
      <w:r>
        <w:rPr/>
        <w:t xml:space="preserve">Validé par le Groupe Spécialisé le 25/06/2020</w:t>
      </w:r>
    </w:p>
    <w:p>
      <w:pPr/>
      <w:r>
        <w:rPr>
          <w:b/>
          <w:bCs/>
        </w:rPr>
        <w:t xml:space="preserve">Description</w:t>
      </w:r>
    </w:p>
    <w:p>
      <w:pPr/>
      <w:r>
        <w:rPr/>
        <w:t xml:space="preserve">Performances thermo-optiques : validé par le GS. </w:t>
      </w:r>
    </w:p>
    <w:p>
      <w:pPr>
        <w:pPr/>
        <w:numPr>
          <w:ilvl w:val="0"/>
          <w:numId w:val="21"/>
        </w:numPr>
      </w:pPr>
      <w:r>
        <w:rPr/>
        <w:t xml:space="preserve">Suppression des paragraphes a) à d2) remplacés par la phrase : « Les performances thermo-optiques du système ont fait l’objet d’une évaluation notament au regard de la RT existante à partir des calculs thermiques cités au paragraphe B Résultats expérimentaux. ».</w:t>
      </w:r>
    </w:p>
    <w:p>
      <w:pPr>
        <w:pPr/>
        <w:numPr>
          <w:ilvl w:val="0"/>
          <w:numId w:val="21"/>
        </w:numPr>
      </w:pPr>
      <w:r>
        <w:rPr/>
        <w:t xml:space="preserve">Suppression des tableaux thermiques renvoyés vers le rapport de calculs thermiques attestés conformes au DTA, cité au paragraphe B Résultats expérimentaux.</w:t>
      </w:r>
    </w:p>
    <w:p>
      <w:pPr>
        <w:pPr/>
        <w:numPr>
          <w:ilvl w:val="0"/>
          <w:numId w:val="21"/>
        </w:numPr>
      </w:pPr>
      <w:r>
        <w:rPr/>
        <w:t xml:space="preserve">Le rapport de calculs thermiques cité au paragraphe B Résultats expérimentaux devra obligatoirement contenir au minimum les mêmes configurations que celles demandées actuellement dans le DTA.</w:t>
      </w:r>
    </w:p>
    <w:p>
      <w:pPr>
        <w:pPr/>
        <w:numPr>
          <w:ilvl w:val="0"/>
          <w:numId w:val="21"/>
        </w:numPr>
      </w:pPr>
      <w:r>
        <w:rPr/>
        <w:t xml:space="preserve">Conformément à la présentation qui en avait été faite en séance, la simplification des performances thermo-optiques ne concerne pas les DTA des fenêtres de toit.</w:t>
      </w:r>
    </w:p>
    <w:p>
      <w:pPr/>
      <w:r>
        <w:rPr/>
        <w:t xml:space="preserve">Mises en œuvre (MEO) : le GS valide le fait de ne publier que les MEO qui sont hors NF DTU 36.5 et hors cahier 3709_V2.</w:t>
      </w:r>
    </w:p>
    <w:p>
      <w:pPr/>
      <w:r>
        <w:rPr/>
        <w:t xml:space="preserve">Simplification des informations des composants : seules les dispositions suivantes ont été validées :</w:t>
      </w:r>
    </w:p>
    <w:p>
      <w:pPr>
        <w:pPr/>
        <w:numPr>
          <w:ilvl w:val="0"/>
          <w:numId w:val="22"/>
        </w:numPr>
      </w:pPr>
      <w:r>
        <w:rPr/>
        <w:t xml:space="preserve">Profilés PVC : suppression du lieu d’extrusion dans le cas des profilés NF126 ;</w:t>
      </w:r>
    </w:p>
    <w:p>
      <w:pPr>
        <w:pPr/>
        <w:numPr>
          <w:ilvl w:val="0"/>
          <w:numId w:val="22"/>
        </w:numPr>
      </w:pPr>
      <w:r>
        <w:rPr/>
        <w:t xml:space="preserve">Profilés aluminium RPT : dans le cas des profilés QB49 suppression du lieu d’extrusion des demi-coquilles, de sertissage et du fournisseur de barrettes.</w:t>
      </w:r>
    </w:p>
    <w:p>
      <w:pPr/>
      <w:r>
        <w:rPr/>
        <w:t xml:space="preserve">Demande de création d’une prestation pour évolutions mineures : validée par le GS, cette prestation concernera uniquement la liste exhaustive des éléments indiqués sur la liste fournie en annexe. Cette nouvelle prestation fera l’objet d’une demande de validation auprès de la CCFAT.</w:t>
      </w:r>
    </w:p>
    <w:p>
      <w:pPr>
        <w:ind w:left="720" w:right="0"/>
      </w:pPr>
      <w:r>
        <w:rPr>
          <w:rStyle w:val="font_h2"/>
        </w:rPr>
        <w:t xml:space="preserve">8.21. 2020 (06) Pièce en impression 3D</w:t>
      </w:r>
    </w:p>
    <w:p>
      <w:pPr/>
      <w:r>
        <w:rPr/>
        <w:t xml:space="preserve">Validé par le Groupe Spécialisé le 24/09/2020</w:t>
      </w:r>
    </w:p>
    <w:p>
      <w:pPr/>
      <w:r>
        <w:rPr>
          <w:b/>
          <w:bCs/>
        </w:rPr>
        <w:t xml:space="preserve">Description</w:t>
      </w:r>
    </w:p>
    <w:p>
      <w:pPr/>
      <w:r>
        <w:rPr/>
        <w:t xml:space="preserve">Le GS6 accepte que les maquettes de présentation soient réalisées avec des pièces prototype en impression 3D, à condition que :</w:t>
      </w:r>
    </w:p>
    <w:p>
      <w:pPr>
        <w:pPr/>
        <w:numPr>
          <w:ilvl w:val="0"/>
          <w:numId w:val="23"/>
        </w:numPr>
      </w:pPr>
      <w:r>
        <w:rPr/>
        <w:t xml:space="preserve">la pièce 3D soit géométriquement identique à la pièce finale,</w:t>
      </w:r>
    </w:p>
    <w:p>
      <w:pPr>
        <w:pPr/>
        <w:numPr>
          <w:ilvl w:val="0"/>
          <w:numId w:val="23"/>
        </w:numPr>
      </w:pPr>
      <w:r>
        <w:rPr/>
        <w:t xml:space="preserve">une date de mise à disposition de la pièce finale soit arrêtée,</w:t>
      </w:r>
    </w:p>
    <w:p>
      <w:pPr>
        <w:pPr/>
        <w:numPr>
          <w:ilvl w:val="0"/>
          <w:numId w:val="23"/>
        </w:numPr>
      </w:pPr>
      <w:r>
        <w:rPr/>
        <w:t xml:space="preserve">la pièce finale, une fois existante, soit envoyée au CSTB pour vérifier la correspondance avec la pièce prototype (dans le délai des levées de réserves).</w:t>
      </w:r>
    </w:p>
    <w:p>
      <w:pPr>
        <w:ind w:left="720" w:right="0"/>
      </w:pPr>
      <w:r>
        <w:rPr>
          <w:rStyle w:val="font_h2"/>
        </w:rPr>
        <w:t xml:space="preserve">8.22. 2020 (09) Présentation des résultats d’étude thermique</w:t>
      </w:r>
    </w:p>
    <w:p>
      <w:pPr/>
      <w:r>
        <w:rPr/>
        <w:t xml:space="preserve">Validé par le Groupe Spécialisé le 29/10/2020</w:t>
      </w:r>
    </w:p>
    <w:p>
      <w:pPr/>
      <w:r>
        <w:rPr>
          <w:b/>
          <w:bCs/>
        </w:rPr>
        <w:t xml:space="preserve">Description</w:t>
      </w:r>
    </w:p>
    <w:p>
      <w:pPr/>
      <w:r>
        <w:rPr/>
        <w:t xml:space="preserve">Le tableau des valeurs thermique des Uw sera présenté au GS6 lors de la présentation du dossier mais ne sera pas publié (présent dans le rapport d’étude thermique du demandeur).</w:t>
      </w:r>
    </w:p>
    <w:p>
      <w:pPr>
        <w:ind w:left="720" w:right="0"/>
      </w:pPr>
      <w:r>
        <w:rPr>
          <w:rStyle w:val="font_h2"/>
        </w:rPr>
        <w:t xml:space="preserve">8.23. 2020 (09) Condition d'extension des dimensions pour les fenêtres coulissantes certifiées</w:t>
      </w:r>
    </w:p>
    <w:p>
      <w:pPr/>
      <w:r>
        <w:rPr/>
        <w:t xml:space="preserve">Validé par le Groupe Spécialisé le 29/10/2020</w:t>
      </w:r>
    </w:p>
    <w:p>
      <w:pPr/>
      <w:r>
        <w:rPr>
          <w:b/>
          <w:bCs/>
        </w:rPr>
        <w:t xml:space="preserve">Description</w:t>
      </w:r>
    </w:p>
    <w:p>
      <w:pPr/>
      <w:r>
        <w:rPr/>
        <w:t xml:space="preserve">Les conditions d’extension des dimensions des fenêtres coulissantes certifiées évoluent de la manière suivante :</w:t>
      </w:r>
    </w:p>
    <w:p>
      <w:pPr>
        <w:pPr/>
        <w:numPr>
          <w:ilvl w:val="0"/>
          <w:numId w:val="24"/>
        </w:numPr>
      </w:pPr>
      <w:r>
        <w:rPr/>
        <w:t xml:space="preserve">Pour la largeur : extension possible dans le cadre de la certification ;</w:t>
      </w:r>
    </w:p>
    <w:p>
      <w:pPr>
        <w:pPr/>
        <w:numPr>
          <w:ilvl w:val="0"/>
          <w:numId w:val="24"/>
        </w:numPr>
      </w:pPr>
      <w:r>
        <w:rPr/>
        <w:t xml:space="preserve">Pour la hauteur : extension possible uniquement le cadre du DTA.</w:t>
      </w:r>
    </w:p>
    <w:p>
      <w:pPr>
        <w:ind w:left="720" w:right="0"/>
      </w:pPr>
      <w:r>
        <w:rPr>
          <w:rStyle w:val="font_h2"/>
        </w:rPr>
        <w:t xml:space="preserve">8.24. 2020 (10) Spécification des valeurs de sertissage dans le cas des montants latéraux d’ouvrants de coulissants en aluminium RPT de type O</w:t>
      </w:r>
    </w:p>
    <w:p>
      <w:pPr/>
      <w:r>
        <w:rPr/>
        <w:t xml:space="preserve">Validé par le Groupe Spécialisé le 10/12/2020</w:t>
      </w:r>
    </w:p>
    <w:p>
      <w:pPr/>
      <w:r>
        <w:rPr>
          <w:b/>
          <w:bCs/>
        </w:rPr>
        <w:t xml:space="preserve">Description</w:t>
      </w:r>
    </w:p>
    <w:p>
      <w:pPr/>
      <w:r>
        <w:rPr/>
        <w:t xml:space="preserve">Pour ces profilés, des valeurs minimales et maximales de sertissages devront être déclarées par le demandeur. Elles seront vérifiées à l’issu de l’essai d’ensoleillement. Ces valeurs seront alors indiquées dans le certificat QB49 ou à défaut dans le DTA.</w:t>
      </w:r>
    </w:p>
    <w:p>
      <w:pPr>
        <w:ind w:left="720" w:right="0"/>
      </w:pPr>
      <w:r>
        <w:rPr>
          <w:rStyle w:val="font_h2"/>
        </w:rPr>
        <w:t xml:space="preserve">8.25. 2020 (10) Charge maximum des chariots dans le cas des fenêtres coulissantes</w:t>
      </w:r>
    </w:p>
    <w:p>
      <w:pPr/>
      <w:r>
        <w:rPr/>
        <w:t xml:space="preserve">Validé par le Groupe Spécialisé le 10/12/2020</w:t>
      </w:r>
    </w:p>
    <w:p>
      <w:pPr/>
      <w:r>
        <w:rPr>
          <w:b/>
          <w:bCs/>
        </w:rPr>
        <w:t xml:space="preserve">Description</w:t>
      </w:r>
    </w:p>
    <w:p>
      <w:pPr/>
      <w:r>
        <w:rPr/>
        <w:t xml:space="preserve">Le GS 06 demande que la charge maximum admissible par chariot, dans le cas des fenêtres coulissantes, ne soit plus indiquée.</w:t>
      </w:r>
    </w:p>
    <w:p>
      <w:pPr/>
      <w:r>
        <w:rPr/>
        <w:t xml:space="preserve">En revanche, dans la partie Avis - Prescriptions Techniques - Conditions de fabrication, il sera indiqué la masse des vantaux objet de l'essai d'endurance ouverture/fermeture et il sera précisé que pour des masses supérieures, il conviendra d'apporter des justifications : "Dans le cas de vitrages d’épaisseur de verre supérieure à xx mm ou de masse de vantail supérieure à xx kg, le fabricant devra s’assurer, par voie expérimentale, que la conception globale de la fenêtre (ferrage, profilés) permet de satisfaire aux critères mécaniques spécifiques prévus par la norme NF P 20-302, dans la limite des charges maximum prévues par la quincaillerie."</w:t>
      </w:r>
    </w:p>
    <w:p>
      <w:pPr/>
      <w:r>
        <w:rPr/>
        <w:t xml:space="preserve">Cette disposition s'applique également aux fenêtres à frappe.</w:t>
      </w:r>
    </w:p>
    <w:p>
      <w:pPr>
        <w:ind w:left="720" w:right="0"/>
      </w:pPr>
      <w:r>
        <w:rPr>
          <w:rStyle w:val="font_h2"/>
        </w:rPr>
        <w:t xml:space="preserve">8.26. 2020 (10) Mise en œuvre en applique extérieure avec ITE</w:t>
      </w:r>
    </w:p>
    <w:p>
      <w:pPr/>
      <w:r>
        <w:rPr/>
        <w:t xml:space="preserve">Validé par le Groupe Spécialisé le 10/12/2020</w:t>
      </w:r>
    </w:p>
    <w:p>
      <w:pPr/>
      <w:r>
        <w:rPr>
          <w:b/>
          <w:bCs/>
        </w:rPr>
        <w:t xml:space="preserve">Description</w:t>
      </w:r>
    </w:p>
    <w:p>
      <w:pPr/>
      <w:r>
        <w:rPr/>
        <w:t xml:space="preserve">Le guide « Protection contre l’incendie des façades béton ou maçonnerie revêtues de systèmes d’isolation thermique extérieure par enduit sur polystyrène expansé (ETICS-PSE) » vient d'être mis à jour en septembre 2020. Il prévoit désormais les fenêtres mises en œuvre en applique extérieure.Dans le cas d’un domaine d’emploi visant la mise en œuvre en applique extérieure :</w:t>
      </w:r>
    </w:p>
    <w:p>
      <w:pPr>
        <w:pPr/>
        <w:numPr>
          <w:ilvl w:val="0"/>
          <w:numId w:val="25"/>
        </w:numPr>
      </w:pPr>
      <w:r>
        <w:rPr/>
        <w:t xml:space="preserve">Le paragraphe "domaine d'emploi" continuera à préciser que les ouvrages prévus dans les préconisations du guide « Protection contre l’incendie des façades béton ou maçonnerie revêtues de systèmes d’isolation thermique extérieure par bardage rapporté ventilé - Septembre 2017 » sont exclus.</w:t>
      </w:r>
    </w:p>
    <w:p>
      <w:pPr>
        <w:pPr/>
        <w:numPr>
          <w:ilvl w:val="0"/>
          <w:numId w:val="25"/>
        </w:numPr>
      </w:pPr>
      <w:r>
        <w:rPr/>
        <w:t xml:space="preserve">Le paragraphe "mise en œuvre" précisera que les préconisations du guides« Protection contre l’incendie des façades béton ou maçonnerie revêtues de systèmes d’isolation thermique extérieure par enduit sur polystyrène expansé (ETICS-PSE) – septembre 2020 » doivent être respectées.</w:t>
      </w:r>
    </w:p>
    <w:p>
      <w:pPr>
        <w:ind w:left="720" w:right="0"/>
      </w:pPr>
      <w:r>
        <w:rPr>
          <w:rStyle w:val="font_h2"/>
        </w:rPr>
        <w:t xml:space="preserve">8.27. 2020 (12) Adhésivité / cohésion dans le cas des ossatures bois</w:t>
      </w:r>
    </w:p>
    <w:p>
      <w:pPr/>
      <w:r>
        <w:rPr/>
        <w:t xml:space="preserve">Validé par le Groupe Spécialisé le 04/02/2021</w:t>
      </w:r>
    </w:p>
    <w:p>
      <w:pPr/>
      <w:r>
        <w:rPr>
          <w:b/>
          <w:bCs/>
        </w:rPr>
        <w:t xml:space="preserve">Description</w:t>
      </w:r>
    </w:p>
    <w:p>
      <w:pPr/>
      <w:r>
        <w:rPr/>
        <w:t xml:space="preserve">Le paragraphe "Condition de mise en œuvre" de la partie Avis précisera dorénavant : " La compatibilité et la cohésion du pare-pluie, du pare-vapeur, du calfeutrement avec les parties du dormant de la fenêtre en contact, doivent être avérée.".</w:t>
      </w:r>
    </w:p>
    <w:p>
      <w:pPr>
        <w:ind w:left="720" w:right="0"/>
      </w:pPr>
      <w:r>
        <w:rPr>
          <w:rStyle w:val="font_h2"/>
        </w:rPr>
        <w:t xml:space="preserve">8.28. 2020 (12) Coulissant mis en œuvre sur ossature bois</w:t>
      </w:r>
    </w:p>
    <w:p>
      <w:pPr/>
      <w:r>
        <w:rPr/>
        <w:t xml:space="preserve">Validé par le Groupe Spécialisé le 04/02/2021</w:t>
      </w:r>
    </w:p>
    <w:p>
      <w:pPr/>
      <w:r>
        <w:rPr>
          <w:b/>
          <w:bCs/>
        </w:rPr>
        <w:t xml:space="preserve">Description</w:t>
      </w:r>
    </w:p>
    <w:p>
      <w:pPr/>
      <w:r>
        <w:rPr/>
        <w:t xml:space="preserve">Les systèmes de fenêtre coulissant dont le domaine d'emploi prévoit la pose sur ossature bois doivent justifier de la compatibilité de leur système avec les déformations du gros œuvre inhérentes à l'ossature bois. Notamment en ce qui concerne le recouvrement du dormant par les ouvrants, afin de palier à tout risque de déchaussement des ouvrants ou de difficultés de fonctionnement.</w:t>
      </w:r>
    </w:p>
    <w:p>
      <w:pPr>
        <w:ind w:left="720" w:right="0"/>
      </w:pPr>
      <w:r>
        <w:rPr>
          <w:rStyle w:val="font_h2"/>
        </w:rPr>
        <w:t xml:space="preserve">8.29. 2020 (12) Mise en œuvre ITE</w:t>
      </w:r>
    </w:p>
    <w:p>
      <w:pPr/>
      <w:r>
        <w:rPr/>
        <w:t xml:space="preserve">Validé par le Groupe Spécialisé le 04/02/2021</w:t>
      </w:r>
    </w:p>
    <w:p>
      <w:pPr/>
      <w:r>
        <w:rPr>
          <w:b/>
          <w:bCs/>
        </w:rPr>
        <w:t xml:space="preserve">Description</w:t>
      </w:r>
    </w:p>
    <w:p>
      <w:pPr/>
      <w:r>
        <w:rPr/>
        <w:t xml:space="preserve">Le paragraphe "Condition de mise en œuvre" de la partie Avis précisera dorénavant : " Les fenêtres doivent être mises en œuvre selon les modalités du cahier CSTB 3709 v2 de juin 2015.".</w:t>
      </w:r>
    </w:p>
    <w:p>
      <w:pPr>
        <w:ind w:left="720" w:right="0"/>
      </w:pPr>
      <w:r>
        <w:rPr>
          <w:rStyle w:val="font_h2"/>
        </w:rPr>
        <w:t xml:space="preserve">8.30. 2021 (02) Mise à jour du paragraphe « système d’étanchéité »</w:t>
      </w:r>
    </w:p>
    <w:p>
      <w:pPr/>
      <w:r>
        <w:rPr/>
        <w:t xml:space="preserve">Validé par le Groupe Spécialisé le 11/03/2021</w:t>
      </w:r>
    </w:p>
    <w:p>
      <w:pPr/>
      <w:r>
        <w:rPr>
          <w:b/>
          <w:bCs/>
        </w:rPr>
        <w:t xml:space="preserve">Description</w:t>
      </w:r>
    </w:p>
    <w:p>
      <w:pPr/>
      <w:r>
        <w:rPr/>
        <w:t xml:space="preserve">Les normes NF P 85-504 et NF EN ISO 8339 n’ont plus lieu de figurer dans le DTA.</w:t>
      </w:r>
    </w:p>
    <w:p>
      <w:pPr>
        <w:ind w:left="720" w:right="0"/>
      </w:pPr>
      <w:r>
        <w:rPr>
          <w:rStyle w:val="font_h2"/>
        </w:rPr>
        <w:t xml:space="preserve">8.31. 2021 (02) Masse des vantaux lors de l’essai d’endurance ouverture - fermeture</w:t>
      </w:r>
    </w:p>
    <w:p>
      <w:pPr/>
      <w:r>
        <w:rPr/>
        <w:t xml:space="preserve">Validé par le Groupe Spécialisé le 11/03/2021</w:t>
      </w:r>
    </w:p>
    <w:p>
      <w:pPr/>
      <w:r>
        <w:rPr>
          <w:b/>
          <w:bCs/>
        </w:rPr>
        <w:t xml:space="preserve">Description</w:t>
      </w:r>
    </w:p>
    <w:p>
      <w:pPr/>
      <w:r>
        <w:rPr/>
        <w:t xml:space="preserve">Il est décidé que la jurisprudence prise lors du GS du 29 octobre 2020 concernant la mention de la masse des vantaux objet de l'essai d'endurance ouverture/fermeture s’applique également pour les dossiers faisant l’objet d’une révision.</w:t>
      </w:r>
    </w:p>
    <w:p>
      <w:pPr>
        <w:ind w:left="720" w:right="0"/>
      </w:pPr>
      <w:r>
        <w:rPr>
          <w:rStyle w:val="font_h2"/>
        </w:rPr>
        <w:t xml:space="preserve">8.32. 2021 (03) Mise en œuvre des coulissants en rénovation sur dormant existant</w:t>
      </w:r>
    </w:p>
    <w:p>
      <w:pPr/>
      <w:r>
        <w:rPr/>
        <w:t xml:space="preserve">Validé par le Groupe Spécialisé le 06/05/2021</w:t>
      </w:r>
    </w:p>
    <w:p>
      <w:pPr/>
      <w:r>
        <w:rPr>
          <w:b/>
          <w:bCs/>
        </w:rPr>
        <w:t xml:space="preserve">Description</w:t>
      </w:r>
    </w:p>
    <w:p>
      <w:pPr/>
      <w:r>
        <w:rPr/>
        <w:t xml:space="preserve">Lorsque le domaine d’emploi d’un système de coulissant prévoit la pose en rénovation sur dormant existant, un plan de mise en œuvre sur dormant bois de 48 mm d’épaisseur (et non plus 36 mm) sera demandé.Le domaine d’emploi des DTA concernés précisera cette épaisseur minimum de 48mm</w:t>
      </w:r>
    </w:p>
    <w:p>
      <w:pPr>
        <w:ind w:left="720" w:right="0"/>
      </w:pPr>
      <w:r>
        <w:rPr>
          <w:rStyle w:val="font_h2"/>
        </w:rPr>
        <w:t xml:space="preserve">8.33. 2021 (03) Représentations des vitrages dans le DTED</w:t>
      </w:r>
    </w:p>
    <w:p>
      <w:pPr/>
      <w:r>
        <w:rPr/>
        <w:t xml:space="preserve">Validé par le Groupe Spécialisé le 06/05/2021</w:t>
      </w:r>
    </w:p>
    <w:p>
      <w:pPr/>
      <w:r>
        <w:rPr>
          <w:b/>
          <w:bCs/>
        </w:rPr>
        <w:t xml:space="preserve">Description</w:t>
      </w:r>
    </w:p>
    <w:p>
      <w:pPr/>
      <w:r>
        <w:rPr/>
        <w:t xml:space="preserve">Le GS6 acte que les vitrages seront systématiquement représentés avec des verres de 4 mm d’épaisseur sauf si le système ne le permet pas.Les coupes verticales seront à réalisées avec la plus grande épaisseur de vitrage et avec un verre intérieur de 4 mm d’épaisseur.</w:t>
      </w:r>
    </w:p>
    <w:p>
      <w:pPr>
        <w:ind w:left="720" w:right="0"/>
      </w:pPr>
      <w:r>
        <w:rPr>
          <w:rStyle w:val="font_h2"/>
        </w:rPr>
        <w:t xml:space="preserve">8.34. 2021 (03) Protection contre la corrosion des vis acier en contact avec l’Aluminium</w:t>
      </w:r>
    </w:p>
    <w:p>
      <w:pPr/>
      <w:r>
        <w:rPr/>
        <w:t xml:space="preserve">Validé par le Groupe Spécialisé le 06/05/2021</w:t>
      </w:r>
    </w:p>
    <w:p>
      <w:pPr/>
      <w:r>
        <w:rPr>
          <w:b/>
          <w:bCs/>
        </w:rPr>
        <w:t xml:space="preserve">Description</w:t>
      </w:r>
    </w:p>
    <w:p>
      <w:pPr/>
      <w:r>
        <w:rPr/>
        <w:t xml:space="preserve">Dans le cadre de la révision de la norme NF P23-305, le FCBA a consulté le GS6 sur le niveau de protection contre la corrosion des vis acier en contact avec l’aluminium. Le GS6 acte les protections minimales suivantes :</w:t>
      </w:r>
    </w:p>
    <w:p>
      <w:pPr>
        <w:pPr/>
        <w:numPr>
          <w:ilvl w:val="0"/>
          <w:numId w:val="26"/>
        </w:numPr>
      </w:pPr>
      <w:r>
        <w:rPr/>
        <w:t xml:space="preserve">Vis inox A2 pour la fixation d’éléments démontables.</w:t>
      </w:r>
    </w:p>
    <w:p>
      <w:pPr>
        <w:pPr/>
        <w:numPr>
          <w:ilvl w:val="0"/>
          <w:numId w:val="26"/>
        </w:numPr>
      </w:pPr>
      <w:r>
        <w:rPr/>
        <w:t xml:space="preserve">Vis zinguées de classe 4 selon la norme EN 1670 pour les éléments non démontables.</w:t>
      </w:r>
    </w:p>
    <w:p>
      <w:pPr>
        <w:ind w:left="720" w:right="0"/>
      </w:pPr>
      <w:r>
        <w:rPr>
          <w:rStyle w:val="font_h2"/>
        </w:rPr>
        <w:t xml:space="preserve">8.35. 2021 (05) Coulissant mis en œuvre sur ossature bois</w:t>
      </w:r>
    </w:p>
    <w:p>
      <w:pPr/>
      <w:r>
        <w:rPr/>
        <w:t xml:space="preserve">Validé par le Groupe Spécialisé le 17/06/2021</w:t>
      </w:r>
    </w:p>
    <w:p>
      <w:pPr/>
      <w:r>
        <w:rPr>
          <w:b/>
          <w:bCs/>
        </w:rPr>
        <w:t xml:space="preserve">Description</w:t>
      </w:r>
    </w:p>
    <w:p>
      <w:pPr/>
      <w:r>
        <w:rPr/>
        <w:t xml:space="preserve">La jurisprudence 2020 (12) « Coulissants mis en œuvre en ossature bois » concernant l’obligation de justifier la compatibilité des systèmes avec les déformations du gros œuvre inhérentes à l'ossature bois est annulée.</w:t>
      </w:r>
    </w:p>
    <w:p>
      <w:pPr/>
      <w:r>
        <w:rPr/>
        <w:t xml:space="preserve">Les dossiers ayant eu une limitation du domaine d’emploi suite à cette jurisprudence vont être révisés d’office afin de lever cette limitation. Une proposition sera faite pour le prochain GS6 quant aux déformations acceptables et/ou aux justifications à apporter dans le cas de pose d'une fenêtre sur ossature bois.</w:t>
      </w:r>
    </w:p>
    <w:p>
      <w:pPr>
        <w:ind w:left="720" w:right="0"/>
      </w:pPr>
      <w:r>
        <w:rPr>
          <w:rStyle w:val="font_h2"/>
        </w:rPr>
        <w:t xml:space="preserve">8.36. 2021 (05) Modification du paragraphe type concernant les traitements de surface</w:t>
      </w:r>
    </w:p>
    <w:p>
      <w:pPr/>
      <w:r>
        <w:rPr/>
        <w:t xml:space="preserve">Validé par le Groupe Spécialisé le 17/06/2021</w:t>
      </w:r>
    </w:p>
    <w:p>
      <w:pPr/>
      <w:r>
        <w:rPr>
          <w:b/>
          <w:bCs/>
        </w:rPr>
        <w:t xml:space="preserve">Description</w:t>
      </w:r>
    </w:p>
    <w:p>
      <w:pPr/>
      <w:r>
        <w:rPr/>
        <w:t xml:space="preserve">Le paragraphe type devient « ils font l'objet […] pour le laquage, en fonction des prescriptions de la norme NF P24-351 ».</w:t>
      </w:r>
    </w:p>
    <w:p>
      <w:pPr>
        <w:ind w:left="720" w:right="0"/>
      </w:pPr>
      <w:r>
        <w:rPr>
          <w:rStyle w:val="font_h2"/>
        </w:rPr>
        <w:t xml:space="preserve">8.37. 2021 (05) Motorisation des fenêtres</w:t>
      </w:r>
    </w:p>
    <w:p>
      <w:pPr/>
      <w:r>
        <w:rPr/>
        <w:t xml:space="preserve">Validé par le Groupe Spécialisé le 17/06/2021</w:t>
      </w:r>
    </w:p>
    <w:p>
      <w:pPr/>
      <w:r>
        <w:rPr>
          <w:b/>
          <w:bCs/>
        </w:rPr>
        <w:t xml:space="preserve">Description</w:t>
      </w:r>
    </w:p>
    <w:p>
      <w:pPr/>
      <w:r>
        <w:rPr/>
        <w:t xml:space="preserve">Le GS6 souhaite pouvoir évaluer la « motorisabilité » des systèmes (profilés dédiés, assemblages, montages, impact éventuel sur le fonctionnement et/ou les performances, …) sans se prononcer sur la sécurité ou le fonctionnement du moteur.</w:t>
      </w:r>
    </w:p>
    <w:p>
      <w:pPr/>
      <w:r>
        <w:rPr/>
        <w:t xml:space="preserve">De plus, le GS6 souhaite qu'un fabricant ne puisse se revendiquer du DTA pour une fenêtre motorisée que si celui-ci est certifié dans la cadre de sa motorisation.</w:t>
      </w:r>
    </w:p>
    <w:p>
      <w:pPr>
        <w:ind w:left="720" w:right="0"/>
      </w:pPr>
      <w:r>
        <w:rPr>
          <w:rStyle w:val="font_h2"/>
        </w:rPr>
        <w:t xml:space="preserve">8.38. 2021 (06) Déformation des habillages monoparois avec L* inférieur à 82 ou non défini</w:t>
      </w:r>
    </w:p>
    <w:p>
      <w:pPr/>
      <w:r>
        <w:rPr/>
        <w:t xml:space="preserve">Validé par le Groupe Spécialisé le 30/09/2021</w:t>
      </w:r>
    </w:p>
    <w:p>
      <w:pPr/>
      <w:r>
        <w:rPr>
          <w:b/>
          <w:bCs/>
        </w:rPr>
        <w:t xml:space="preserve">Description</w:t>
      </w:r>
    </w:p>
    <w:p>
      <w:pPr/>
      <w:r>
        <w:rPr/>
        <w:t xml:space="preserve">Le GS6 souhaite modifier la phrase type utilisée lorsqu'un habillage monoparoi avec L* inférieur à 82 ou non défini est utilisé en traverse basse extérieure. La phrase "Une exposition extérieure des profilés […] ou non défini peut occasionner des déformations permanentes de ces habillages" devient "Une exposition extérieure des profilés […] ou non défini peut occasionner un désordre esthétique sous forme de déformations permanentes de ces habillages".</w:t>
      </w:r>
    </w:p>
    <w:p>
      <w:pPr>
        <w:ind w:left="720" w:right="0"/>
      </w:pPr>
      <w:r>
        <w:rPr>
          <w:rStyle w:val="font_h2"/>
        </w:rPr>
        <w:t xml:space="preserve">8.39. 2021 (06) Exigence minimum pour les profilés aluminium laqués en bord de mer</w:t>
      </w:r>
    </w:p>
    <w:p>
      <w:pPr/>
      <w:r>
        <w:rPr/>
        <w:t xml:space="preserve">Validé par le Groupe Spécialisé le 30/09/2021</w:t>
      </w:r>
    </w:p>
    <w:p>
      <w:pPr/>
      <w:r>
        <w:rPr>
          <w:b/>
          <w:bCs/>
        </w:rPr>
        <w:t xml:space="preserve">Description</w:t>
      </w:r>
    </w:p>
    <w:p>
      <w:pPr/>
      <w:r>
        <w:rPr/>
        <w:t xml:space="preserve">En ce qui concerne le laquage des profilés aluminium pour les applications en bord de mer, le GS6 exige le niveau de justification minimum suivant :</w:t>
      </w:r>
    </w:p>
    <w:p>
      <w:pPr>
        <w:pPr/>
        <w:numPr>
          <w:ilvl w:val="0"/>
          <w:numId w:val="27"/>
        </w:numPr>
      </w:pPr>
      <w:r>
        <w:rPr/>
        <w:t xml:space="preserve">label Qualimarine avec alliage qualité bâtiment selon définition du DTU 33.1 ;</w:t>
      </w:r>
    </w:p>
    <w:p>
      <w:pPr/>
      <w:r>
        <w:rPr/>
        <w:t xml:space="preserve">ou bien</w:t>
      </w:r>
    </w:p>
    <w:p>
      <w:pPr>
        <w:pPr/>
        <w:numPr>
          <w:ilvl w:val="0"/>
          <w:numId w:val="28"/>
        </w:numPr>
      </w:pPr>
      <w:r>
        <w:rPr/>
        <w:t xml:space="preserve">label Qualicoat Seaside AA1 ou AA2 minimum avec alliage qualité bâtiment selon définition du DTU 33.1.</w:t>
      </w:r>
    </w:p>
    <w:p>
      <w:pPr>
        <w:ind w:left="720" w:right="0"/>
      </w:pPr>
      <w:r>
        <w:rPr>
          <w:rStyle w:val="font_h2"/>
        </w:rPr>
        <w:t xml:space="preserve">8.40. 2021 (11) Label Qualicoat</w:t>
      </w:r>
    </w:p>
    <w:p>
      <w:pPr/>
      <w:r>
        <w:rPr/>
        <w:t xml:space="preserve">Validé par le Groupe Spécialisé le 09/12/2021</w:t>
      </w:r>
    </w:p>
    <w:p>
      <w:pPr/>
      <w:r>
        <w:rPr>
          <w:b/>
          <w:bCs/>
        </w:rPr>
        <w:t xml:space="preserve">Description</w:t>
      </w:r>
    </w:p>
    <w:p>
      <w:pPr/>
      <w:r>
        <w:rPr/>
        <w:t xml:space="preserve">Les DTA feront référence au NF DTU 36.5 pour les définitions des alliages aluminium au lieu du NF DTU 33.1. La phrase type devient : « Ils font l’objet du label QUALICOAT, QUALIMARINE ou QUALICOAT SEASIDE (AA1 ou AA2 minimum) avec alliage qualité bâtiment selon définition du NF DTU 36.5 P1.2 pour le laquage et QUALANOD pour l’anodisation ».</w:t>
      </w:r>
    </w:p>
    <w:p>
      <w:pPr>
        <w:ind w:left="720" w:right="0"/>
      </w:pPr>
      <w:r>
        <w:rPr>
          <w:rStyle w:val="font_h2"/>
        </w:rPr>
        <w:t xml:space="preserve">8.41. 2022 (03) Modalités et date de mise en application du « Cahier 3376_V3 – Dispositions d’usinage des entailles destinées à recevoir les entrées d’air des profilés de fenêtres »</w:t>
      </w:r>
    </w:p>
    <w:p>
      <w:pPr/>
      <w:r>
        <w:rPr/>
        <w:t xml:space="preserve">Validé par le Groupe Spécialisé le 13/04/2022</w:t>
      </w:r>
    </w:p>
    <w:p>
      <w:pPr/>
      <w:r>
        <w:rPr>
          <w:b/>
          <w:bCs/>
        </w:rPr>
        <w:t xml:space="preserve">Description</w:t>
      </w:r>
    </w:p>
    <w:p>
      <w:pPr/>
      <w:r>
        <w:rPr/>
        <w:t xml:space="preserve">Le cahier 3376_V3 sera publié sous 15 jours. Il pourra être utilisé dès sa publication et sera à prendre en compte de manière systématique pour toutes les demandes présentées à partir du 01 janvier 2023.</w:t>
      </w:r>
    </w:p>
    <w:p>
      <w:pPr>
        <w:ind w:left="720" w:right="0"/>
      </w:pPr>
      <w:r>
        <w:rPr>
          <w:rStyle w:val="font_h2"/>
        </w:rPr>
        <w:t xml:space="preserve">8.42. 2022 (03) Condition d'extension des dimensions pour les fenêtres coulissantes certifiées</w:t>
      </w:r>
    </w:p>
    <w:p>
      <w:pPr/>
      <w:r>
        <w:rPr/>
        <w:t xml:space="preserve">Validé par le Groupe Spécialisé le 13/04/2022</w:t>
      </w:r>
    </w:p>
    <w:p>
      <w:pPr/>
      <w:r>
        <w:rPr>
          <w:b/>
          <w:bCs/>
        </w:rPr>
        <w:t xml:space="preserve">Description</w:t>
      </w:r>
    </w:p>
    <w:p>
      <w:pPr/>
      <w:r>
        <w:rPr/>
        <w:t xml:space="preserve">En complément de la jurisprudence 2020 (02) Prise en compte de la déformation des planchers béton : « Pour les systèmes coulissants supérieurs à 4 m de largeur, il conviendra :</w:t>
      </w:r>
    </w:p>
    <w:p>
      <w:pPr>
        <w:pPr/>
        <w:numPr>
          <w:ilvl w:val="0"/>
          <w:numId w:val="29"/>
        </w:numPr>
      </w:pPr>
      <w:r>
        <w:rPr/>
        <w:t xml:space="preserve">Soit de justifier que la déformation des planchers haut et bas est inférieure ou égale à 1 mm, le plancher est alors considéré comme « infiniment » rigide.</w:t>
      </w:r>
    </w:p>
    <w:p>
      <w:pPr>
        <w:pPr/>
        <w:numPr>
          <w:ilvl w:val="0"/>
          <w:numId w:val="29"/>
        </w:numPr>
      </w:pPr>
      <w:r>
        <w:rPr/>
        <w:t xml:space="preserve">Soit de mener une étude et de donner un recouvrement minimum qui sera inscrit dans les paragraphes domaine d’emploi, prescriptions techniques et remarques complémentaires du GS. ».</w:t>
      </w:r>
    </w:p>
    <w:p>
      <w:pPr/>
      <w:r>
        <w:rPr/>
        <w:t xml:space="preserve">Il sera indiqué dans les DTA « Pour les fabrications certifiées, des dimensions supérieures peuvent être envisagées (il y aura lieu d'apporter des justifications spécifiques dans le cadre du DTA pour tenir compte de la déformation du gros œuvre et de la sécurité au-delà de 4 m de largeur). ».</w:t>
      </w:r>
    </w:p>
    <w:p>
      <w:pPr>
        <w:ind w:left="720" w:right="0"/>
      </w:pPr>
      <w:r>
        <w:rPr>
          <w:rStyle w:val="font_h2"/>
        </w:rPr>
        <w:t xml:space="preserve">8.43. 2022 (03) Examens des conditions de validité des systèmes avec vitrage collé</w:t>
      </w:r>
    </w:p>
    <w:p>
      <w:pPr/>
      <w:r>
        <w:rPr/>
        <w:t xml:space="preserve">Validé par le Groupe Spécialisé le 13/04/2022</w:t>
      </w:r>
    </w:p>
    <w:p>
      <w:pPr/>
      <w:r>
        <w:rPr>
          <w:b/>
          <w:bCs/>
        </w:rPr>
        <w:t xml:space="preserve">Description</w:t>
      </w:r>
    </w:p>
    <w:p>
      <w:pPr/>
      <w:r>
        <w:rPr/>
        <w:t xml:space="preserve">Le ruban adhésif VHB de la société 3M ne bénéficiant plus d’un ATE, il ne peut plus être utilisé de façon structurelle dans les DTA. Les fenêtres utilisant ce ruban doivent rester fonctionnelles et assurer la sécurité des personnes sans celui-ci.</w:t>
      </w:r>
    </w:p>
    <w:p>
      <w:pPr/>
      <w:r>
        <w:rPr/>
        <w:t xml:space="preserve">De façon générale, pour tous les systèmes collés, le fabriquant de colle devra apporter les preuvesde son engagement à :</w:t>
      </w:r>
    </w:p>
    <w:p>
      <w:pPr>
        <w:pPr/>
        <w:numPr>
          <w:ilvl w:val="0"/>
          <w:numId w:val="30"/>
        </w:numPr>
      </w:pPr>
      <w:r>
        <w:rPr/>
        <w:t xml:space="preserve">Garantir une constance de qualité de fabrication et une constance de la composition chimique.</w:t>
      </w:r>
    </w:p>
    <w:p>
      <w:pPr>
        <w:pPr/>
        <w:numPr>
          <w:ilvl w:val="0"/>
          <w:numId w:val="30"/>
        </w:numPr>
      </w:pPr>
      <w:r>
        <w:rPr/>
        <w:t xml:space="preserve">En cas de changement, informer le CSTB de toute modification de la composition de son produit.</w:t>
      </w:r>
    </w:p>
    <w:p>
      <w:pPr>
        <w:pPr/>
        <w:numPr>
          <w:ilvl w:val="0"/>
          <w:numId w:val="30"/>
        </w:numPr>
      </w:pPr>
      <w:r>
        <w:rPr/>
        <w:t xml:space="preserve">Assurer le contrôle qualité en fabrication garantissant les performances de son produit.</w:t>
      </w:r>
    </w:p>
    <w:p>
      <w:pPr>
        <w:ind w:left="720" w:right="0"/>
      </w:pPr>
      <w:r>
        <w:rPr>
          <w:rStyle w:val="font_h2"/>
        </w:rPr>
        <w:t xml:space="preserve">8.44. 2022 (05) Réaction au feu</w:t>
      </w:r>
    </w:p>
    <w:p>
      <w:pPr/>
      <w:r>
        <w:rPr/>
        <w:t xml:space="preserve">Validé par le Groupe Spécialisé le 15/06/2022</w:t>
      </w:r>
    </w:p>
    <w:p>
      <w:pPr/>
      <w:r>
        <w:rPr>
          <w:b/>
          <w:bCs/>
        </w:rPr>
        <w:t xml:space="preserve">Description</w:t>
      </w:r>
    </w:p>
    <w:p>
      <w:pPr/>
      <w:r>
        <w:rPr/>
        <w:t xml:space="preserve">Pour les systèmes présentant des PV d’essais de réaction au feu des profilés pour l’ensemble des différentes configurations possibles et si les classements obtenus sont M2 ou M1, la phrase suivante sera retirée de l’avis technique : « Pour les produits classes M3 ou M4, il est important de s’assurer de leur conformité vis-à-vis de la règlementation de sécurité incendie. ».</w:t>
      </w:r>
    </w:p>
    <w:p>
      <w:pPr>
        <w:ind w:left="720" w:right="0"/>
      </w:pPr>
      <w:r>
        <w:rPr>
          <w:rStyle w:val="font_h2"/>
        </w:rPr>
        <w:t xml:space="preserve">8.45. 2022 (05) Révision du cahier 3706 « Cahier des charges des seuils de portes-fenêtres et portes extérieures »</w:t>
      </w:r>
    </w:p>
    <w:p>
      <w:pPr/>
      <w:r>
        <w:rPr/>
        <w:t xml:space="preserve">Validé par le Groupe Spécialisé le 15/06/2022</w:t>
      </w:r>
    </w:p>
    <w:p>
      <w:pPr/>
      <w:r>
        <w:rPr>
          <w:b/>
          <w:bCs/>
        </w:rPr>
        <w:t xml:space="preserve">Description</w:t>
      </w:r>
    </w:p>
    <w:p>
      <w:pPr/>
      <w:r>
        <w:rPr/>
        <w:t xml:space="preserve">Le projet de cahier 3706_V2 est entériné.La version révisée du cahier sera applicable aux dossiers présentés au GS06 à partir du 1er janvier 2023 :</w:t>
      </w:r>
    </w:p>
    <w:p>
      <w:pPr>
        <w:pPr/>
        <w:numPr>
          <w:ilvl w:val="0"/>
          <w:numId w:val="31"/>
        </w:numPr>
      </w:pPr>
      <w:r>
        <w:rPr/>
        <w:t xml:space="preserve">Pour tous les nouveaux systèmes ;</w:t>
      </w:r>
    </w:p>
    <w:p>
      <w:pPr>
        <w:pPr/>
        <w:numPr>
          <w:ilvl w:val="0"/>
          <w:numId w:val="31"/>
        </w:numPr>
      </w:pPr>
      <w:r>
        <w:rPr/>
        <w:t xml:space="preserve">Aux systèmes existants (lors de leur révision) dès lors qu’une solution existante de seuil est modifiée ou qu’une nouvelle solution de seuil est ajoutée.</w:t>
      </w:r>
    </w:p>
    <w:p>
      <w:pPr>
        <w:ind w:left="720" w:right="0"/>
      </w:pPr>
      <w:r>
        <w:rPr>
          <w:rStyle w:val="font_h2"/>
        </w:rPr>
        <w:t xml:space="preserve">8.46. 2022 (10) Essai d’aquarium : valeur minimum à prendre en compte pour le cisaillement</w:t>
      </w:r>
    </w:p>
    <w:p>
      <w:pPr/>
      <w:r>
        <w:rPr/>
        <w:t xml:space="preserve">Validé par le Groupe Spécialisé le 16/11/2022</w:t>
      </w:r>
    </w:p>
    <w:p>
      <w:pPr/>
      <w:r>
        <w:rPr>
          <w:b/>
          <w:bCs/>
        </w:rPr>
        <w:t xml:space="preserve">Description</w:t>
      </w:r>
    </w:p>
    <w:p>
      <w:pPr/>
      <w:r>
        <w:rPr/>
        <w:t xml:space="preserve">Pour les profilés de dormant en traverse basse de type O, la jurisprudence indique qu'il faut réaliser un essai d’aquarium sur ce profilé avec une valeur de cisaillement à 70% de sa valeur minimum déclarée. </w:t>
      </w:r>
    </w:p>
    <w:p>
      <w:pPr/>
      <w:r>
        <w:rPr/>
        <w:t xml:space="preserve">Cette jurisprudence avait été prise en prenant en compte la perte maximum autorisée au niveau de l'essai de cisaillement après hydrolyse (notamment les seuils PMR). </w:t>
      </w:r>
    </w:p>
    <w:p>
      <w:pPr/>
      <w:r>
        <w:rPr/>
        <w:t xml:space="preserve">Cependant, pour les profilés de traverse basse de type O, certains essais de cisaillement après déversement permettent de constater une perte supérieure à 30 %. </w:t>
      </w:r>
    </w:p>
    <w:p>
      <w:pPr/>
      <w:r>
        <w:rPr/>
        <w:t xml:space="preserve">La jurisprudence reste inchangée lorsqu’il n’y a pas eu d’essai de déversement réalisé sur le profilé (typiquement le cas des seuils PMR). </w:t>
      </w:r>
    </w:p>
    <w:p>
      <w:pPr/>
      <w:r>
        <w:rPr/>
        <w:t xml:space="preserve">En revanche, lorsqu'un essai de déversement a été réalisé et que la perte lors de l'essai de cisaillement est supérieure à 30%, alors l'essai d'aquarium est à réaliser sur un profilé dont la valeur de cisaillement est inférieure ou égale à la valeur de cisaillement du profilé après déversement.</w:t>
      </w:r>
    </w:p>
    <w:p>
      <w:pPr>
        <w:ind w:left="720" w:right="0"/>
      </w:pPr>
      <w:r>
        <w:rPr>
          <w:rStyle w:val="font_h2"/>
        </w:rPr>
        <w:t xml:space="preserve">8.47. 2022 (12) Quincailleries - Paumelles</w:t>
      </w:r>
    </w:p>
    <w:p>
      <w:pPr/>
      <w:r>
        <w:rPr/>
        <w:t xml:space="preserve">Validé par le Groupe Spécialisé le 02/02/2023</w:t>
      </w:r>
    </w:p>
    <w:p>
      <w:pPr/>
      <w:r>
        <w:rPr>
          <w:b/>
          <w:bCs/>
        </w:rPr>
        <w:t xml:space="preserve">Description</w:t>
      </w:r>
    </w:p>
    <w:p>
      <w:pPr/>
      <w:r>
        <w:rPr/>
        <w:t xml:space="preserve">Le GS confirme la jurisprudence concernant les fenêtres coulissantes selon laquelle les masses maximum admissibles par chariot ne devaient pas être indiquées dans les DTA. Il décide d'étendre cette jurisprudence aux systèmes à frappe : les masses maximum admissibles par paumelle ou par la quincaillerie ne seront plus indiquées dans les DTA.</w:t>
      </w:r>
    </w:p>
    <w:p>
      <w:pPr>
        <w:ind w:left="720" w:right="0"/>
      </w:pPr>
      <w:r>
        <w:rPr>
          <w:rStyle w:val="font_h2"/>
        </w:rPr>
        <w:t xml:space="preserve">8.48. 2023 (03) Conclusions sur la simplification des DTA/AT</w:t>
      </w:r>
    </w:p>
    <w:p>
      <w:pPr/>
      <w:r>
        <w:rPr/>
        <w:t xml:space="preserve">Validé par le Groupe Spécialisé le 20/04/2023</w:t>
      </w:r>
    </w:p>
    <w:p>
      <w:pPr/>
      <w:r>
        <w:rPr>
          <w:b/>
          <w:bCs/>
        </w:rPr>
        <w:t xml:space="preserve">Description</w:t>
      </w:r>
    </w:p>
    <w:p>
      <w:pPr/>
      <w:r>
        <w:rPr/>
        <w:t xml:space="preserve">Le GS6 a acté le principe de simplification des DTA dont les dispositions sont disponibles au lien suivant. Ce lien renvoi vers la dernière version en vigueur, tenue à jour.</w:t>
      </w:r>
    </w:p>
    <w:p>
      <w:pPr>
        <w:ind w:left="720" w:right="0"/>
      </w:pPr>
      <w:r>
        <w:rPr>
          <w:rStyle w:val="font_h2"/>
        </w:rPr>
        <w:t xml:space="preserve">8.49. 2023 (06) Cas des systèmes ne pouvant pas justifier d’un essai à l’eau en méthode A</w:t>
      </w:r>
    </w:p>
    <w:p>
      <w:pPr/>
      <w:r>
        <w:rPr/>
        <w:t xml:space="preserve">Validé par le Groupe Spécialisé le 14/09/2023</w:t>
      </w:r>
    </w:p>
    <w:p>
      <w:pPr/>
      <w:r>
        <w:rPr>
          <w:b/>
          <w:bCs/>
        </w:rPr>
        <w:t xml:space="preserve">Description</w:t>
      </w:r>
    </w:p>
    <w:p>
      <w:pPr/>
      <w:r>
        <w:rPr/>
        <w:t xml:space="preserve">Pour tous les systèmes de fenêtres ne pouvant justifier d’un essai à l’eau en méthode A, il sera précisé au paragraphe 1.1.2 « Ouvrages visés » : « Pour des conditions de conception conformes au paragraphe 2 « Dossier technique » : fenêtre extérieure mise en œuvre, dans les cas où la méthode A d’essai à l’eau n’est pas requise : ».</w:t>
      </w:r>
    </w:p>
    <w:p>
      <w:pPr>
        <w:ind w:left="720" w:right="0"/>
      </w:pPr>
      <w:r>
        <w:rPr>
          <w:rStyle w:val="font_h2"/>
        </w:rPr>
        <w:t xml:space="preserve">8.50. 2023 (06) Précision sur la jurisprudence concernant la dimension minimum de 10 mm de surface plane pour le calfeutrement au dos des dormants pour les nouveaux systèmes</w:t>
      </w:r>
    </w:p>
    <w:p>
      <w:pPr/>
      <w:r>
        <w:rPr/>
        <w:t xml:space="preserve">Validé par le Groupe Spécialisé le 14/09/2023</w:t>
      </w:r>
    </w:p>
    <w:p>
      <w:pPr/>
      <w:r>
        <w:rPr>
          <w:b/>
          <w:bCs/>
        </w:rPr>
        <w:t xml:space="preserve">Description</w:t>
      </w:r>
    </w:p>
    <w:p>
      <w:pPr/>
      <w:r>
        <w:rPr/>
        <w:t xml:space="preserve">Le GS6 précise la jurisprudence d’avril 2018 sur la dimension des calfeutrements : En cas de pose en tunnel ou en rénovation avec conservation des dormants, les dormants de la nouvelle fenêtre doivent présenter une surface plane parallèle au gros œuvre ou à l’ancien dormant permettant la mise en place du calfeutrement. La dimension de cette zone de calfeutrement doit être supérieure ou égale à 10 mm (éventuellement à l’aide d’un profil complémentaire monté d’usine). Une dimension inférieure, même avec limitation du domaine d’emploi n’est pas acceptable, car peu réaliste vis-à-vis des conditions de chantier. Cette jurisprudence s’applique à tous les DTA. Dans le cas où un profilé complémentaire monté d’usine est nécessaire, il conviendra de publier un plan indiquant clairement la façon dont il est assemblé.</w:t>
      </w:r>
    </w:p>
    <w:p>
      <w:pPr>
        <w:ind w:left="720" w:right="0"/>
      </w:pPr>
      <w:r>
        <w:rPr>
          <w:rStyle w:val="font_h2"/>
        </w:rPr>
        <w:t xml:space="preserve">8.51. 2023 (06) Règles sismiques pour les fenêtres fixées sur deux côtés ou en bandes filantes</w:t>
      </w:r>
    </w:p>
    <w:p>
      <w:pPr/>
      <w:r>
        <w:rPr/>
        <w:t xml:space="preserve">Validé par le Groupe Spécialisé le 14/09/2023</w:t>
      </w:r>
    </w:p>
    <w:p>
      <w:pPr/>
      <w:r>
        <w:rPr>
          <w:b/>
          <w:bCs/>
        </w:rPr>
        <w:t xml:space="preserve">Description</w:t>
      </w:r>
    </w:p>
    <w:p>
      <w:pPr/>
      <w:r>
        <w:rPr/>
        <w:t xml:space="preserve">La jurisprudence actuelle prévoie que la phrase suivante soit indiquée dans les DTA au paragraphe « Pose en zone sismique » : « Le présent système ne présentant pas d'éléments de remplissage supérieurs à 4 m², il n'y a pas lieu d'apporter de justifications particulières (conformément au « Guide de dimensionnement parasismique des élément non structuraux du cadre bâti » de septembre 2014). ».</w:t>
      </w:r>
    </w:p>
    <w:p>
      <w:pPr/>
      <w:r>
        <w:rPr/>
        <w:t xml:space="preserve">Le GS6 souhaite que cette phrase soit modifiée comme suit : « Le présent système ne présentant pas d’éléments de remplissage supérieurs à 4 m² et ne prévoyant pas de disposition de mise en œuvre en bande filante, il n'y a pas lieu d'apporter de justifications particulières (conformément au « Guide de dimensionnement parasismique des élément non structuraux du cadre bâti » de septembre 2014). ». Dans les cas où un système de fenêtre prévoit des dispositions de mise en œuvre en bande filante, ou une fixation particulière il y aura lieu d’examiner les justifications particulières (par exemple des justifications conformes à la fiche technique n°49).</w:t>
      </w:r>
    </w:p>
    <w:p>
      <w:pPr>
        <w:ind w:left="720" w:right="0"/>
      </w:pPr>
      <w:r>
        <w:rPr>
          <w:rStyle w:val="font_h2"/>
        </w:rPr>
        <w:t xml:space="preserve">8.52. 2023 (10) Butée d’arrêt</w:t>
      </w:r>
    </w:p>
    <w:p>
      <w:pPr/>
      <w:r>
        <w:rPr/>
        <w:t xml:space="preserve">Validé par le Groupe Spécialisé le 16/11/2023</w:t>
      </w:r>
    </w:p>
    <w:p>
      <w:pPr/>
      <w:r>
        <w:rPr>
          <w:b/>
          <w:bCs/>
        </w:rPr>
        <w:t xml:space="preserve">Description</w:t>
      </w:r>
    </w:p>
    <w:p>
      <w:pPr/>
      <w:r>
        <w:rPr/>
        <w:t xml:space="preserve">Dans le cas des fenêtres coulissantes, la phrase suivante doit être ajoutée au paragraphe « Disposition de conception » : « Dans certains cas, il peut être nécessaire d’installer des buttées d’arrêt afin de pallier aux risques de casse thermique des vitrages ».</w:t>
      </w:r>
    </w:p>
    <w:p>
      <w:pPr>
        <w:ind w:left="720" w:right="0"/>
      </w:pPr>
      <w:r>
        <w:rPr>
          <w:rStyle w:val="font_h2"/>
        </w:rPr>
        <w:t xml:space="preserve">8.53. 2023 (11) Fixation des bavettes</w:t>
      </w:r>
    </w:p>
    <w:p>
      <w:pPr/>
      <w:r>
        <w:rPr/>
        <w:t xml:space="preserve">Validé par le Groupe Spécialisé le 14/12/2023</w:t>
      </w:r>
    </w:p>
    <w:p>
      <w:pPr/>
      <w:r>
        <w:rPr>
          <w:b/>
          <w:bCs/>
        </w:rPr>
        <w:t xml:space="preserve">Description</w:t>
      </w:r>
    </w:p>
    <w:p>
      <w:pPr/>
      <w:r>
        <w:rPr/>
        <w:t xml:space="preserve">Le GS6 souhaite limiter l’utilisation des bavettes « clippées collées » (non vissées). L’utilisation de ce mode de fixation est à réserver aux cas où la mise en place de la bavette est au lot menuiserie. Cela exclu de fait, l’utilisation de ce mode de fixation dans les cas de bavettes pour mise en œuvre ITE.</w:t>
      </w:r>
    </w:p>
    <w:p>
      <w:pPr>
        <w:ind w:left="720" w:right="0"/>
      </w:pPr>
      <w:r>
        <w:rPr>
          <w:rStyle w:val="font_h2"/>
        </w:rPr>
        <w:t xml:space="preserve">8.54. 2023 (11) Passage de type O à type C au sens de la norme NF EN 14024 (2023)</w:t>
      </w:r>
    </w:p>
    <w:p>
      <w:pPr/>
      <w:r>
        <w:rPr/>
        <w:t xml:space="preserve">Validé par le Groupe Spécialisé le 14/12/2023</w:t>
      </w:r>
    </w:p>
    <w:p>
      <w:pPr/>
      <w:r>
        <w:rPr>
          <w:b/>
          <w:bCs/>
        </w:rPr>
        <w:t xml:space="preserve">Description</w:t>
      </w:r>
    </w:p>
    <w:p>
      <w:pPr/>
      <w:r>
        <w:rPr/>
        <w:t xml:space="preserve">Au fur et à mesure des révisions, la référence au type O de certains profilés aluminium RPT sera remplacée par le type C, conformément à la norme NF EN 14024 (2023).</w:t>
      </w:r>
    </w:p>
    <w:p>
      <w:pPr>
        <w:ind w:left="720" w:right="0"/>
      </w:pPr>
      <w:r>
        <w:rPr>
          <w:rStyle w:val="font_h2"/>
        </w:rPr>
        <w:t xml:space="preserve">8.55. 2023 (11) Mise en œuvre nécessitant un profilé complémentaire</w:t>
      </w:r>
    </w:p>
    <w:p>
      <w:pPr/>
      <w:r>
        <w:rPr/>
        <w:t xml:space="preserve">Validé par le Groupe Spécialisé le 14/12/2023</w:t>
      </w:r>
    </w:p>
    <w:p>
      <w:pPr/>
      <w:r>
        <w:rPr>
          <w:b/>
          <w:bCs/>
        </w:rPr>
        <w:t xml:space="preserve">Description</w:t>
      </w:r>
    </w:p>
    <w:p>
      <w:pPr/>
      <w:r>
        <w:rPr/>
        <w:t xml:space="preserve">Lorsque la mise en œuvre d’une fenêtre (en tunnel par exemple) nécessite la mise en place au cul du dormant d’un profilé complémentaire il conviendra de : </w:t>
      </w:r>
    </w:p>
    <w:p>
      <w:pPr>
        <w:pPr/>
        <w:numPr>
          <w:ilvl w:val="0"/>
          <w:numId w:val="32"/>
        </w:numPr>
      </w:pPr>
      <w:r>
        <w:rPr/>
        <w:t xml:space="preserve">le préciser dans le paragraphe « domaine d’emploi », </w:t>
      </w:r>
    </w:p>
    <w:p>
      <w:pPr>
        <w:pPr/>
        <w:numPr>
          <w:ilvl w:val="0"/>
          <w:numId w:val="32"/>
        </w:numPr>
      </w:pPr>
      <w:r>
        <w:rPr/>
        <w:t xml:space="preserve">l’indiquer dans le paragraphe « remarques complémentaires du groupe spécialisé », </w:t>
      </w:r>
    </w:p>
    <w:p>
      <w:pPr>
        <w:pPr/>
        <w:numPr>
          <w:ilvl w:val="0"/>
          <w:numId w:val="32"/>
        </w:numPr>
      </w:pPr>
      <w:r>
        <w:rPr/>
        <w:t xml:space="preserve">présenter dans le dossier publié un schéma montrant la mise en place de ce profilé et son interaction avec le gros œuvre.</w:t>
      </w:r>
    </w:p>
    <w:p>
      <w:pPr>
        <w:ind w:left="720" w:right="0"/>
      </w:pPr>
      <w:r>
        <w:rPr>
          <w:rStyle w:val="font_h2"/>
        </w:rPr>
        <w:t xml:space="preserve">8.56. 2023 (12) Diffusions restreintes (ou terme équivalents)</w:t>
      </w:r>
    </w:p>
    <w:p>
      <w:pPr/>
      <w:r>
        <w:rPr/>
        <w:t xml:space="preserve">Validé par le Groupe Spécialisé le 01/02/2024</w:t>
      </w:r>
    </w:p>
    <w:p>
      <w:pPr/>
      <w:r>
        <w:rPr>
          <w:b/>
          <w:bCs/>
        </w:rPr>
        <w:t xml:space="preserve">Description</w:t>
      </w:r>
    </w:p>
    <w:p>
      <w:pPr/>
      <w:r>
        <w:rPr/>
        <w:t xml:space="preserve">Le GS6 ne souhaite plus voir apparaitre dans les dossiers les termes « diffusion restreinte », « diffusion spécifique », etc… Le GS6 se prononce sur la durabilité, la faisabilité et la capacité à mettre en œuvre un système : le DTA n’a pas vocation à être un catalogue technique.</w:t>
      </w:r>
    </w:p>
    <w:p>
      <w:pPr>
        <w:ind w:left="720" w:right="0"/>
      </w:pPr>
      <w:r>
        <w:rPr>
          <w:rStyle w:val="font_h2"/>
        </w:rPr>
        <w:t xml:space="preserve">8.57. 2023 (12) Pièce imprimée en 3D</w:t>
      </w:r>
    </w:p>
    <w:p>
      <w:pPr/>
      <w:r>
        <w:rPr/>
        <w:t xml:space="preserve">Validé par le Groupe Spécialisé le 01/02/2024</w:t>
      </w:r>
    </w:p>
    <w:p>
      <w:pPr/>
      <w:r>
        <w:rPr>
          <w:b/>
          <w:bCs/>
        </w:rPr>
        <w:t xml:space="preserve">Description</w:t>
      </w:r>
    </w:p>
    <w:p>
      <w:pPr/>
      <w:r>
        <w:rPr/>
        <w:t xml:space="preserve">En complément de la jurisprudence « 2018 (12) Pièces en impression 3D », les éléments concernés (réalisés en impression 3D) seront identifiés dans le DTA présenté en GS6 (tout comme le sont déjà les profilés métalliques RPT type C). L’identification des pièces en impression 3D ne sera pas conservée dans le dossier publié.</w:t>
      </w:r>
    </w:p>
    <w:p>
      <w:pPr>
        <w:ind w:left="720" w:right="0"/>
      </w:pPr>
      <w:r>
        <w:rPr>
          <w:rStyle w:val="font_h2"/>
        </w:rPr>
        <w:t xml:space="preserve">8.58. 2023 (12) Cas de pose PMR avec dalles sur plots</w:t>
      </w:r>
    </w:p>
    <w:p>
      <w:pPr/>
      <w:r>
        <w:rPr/>
        <w:t xml:space="preserve">Validé par le Groupe Spécialisé le 01/02/2024</w:t>
      </w:r>
    </w:p>
    <w:p>
      <w:pPr/>
      <w:r>
        <w:rPr>
          <w:b/>
          <w:bCs/>
        </w:rPr>
        <w:t xml:space="preserve">Description</w:t>
      </w:r>
    </w:p>
    <w:p>
      <w:pPr/>
      <w:r>
        <w:rPr/>
        <w:t xml:space="preserve">Dans le cas où le demandeur souhaiterait que le domaine d’emploi de son système inclus la mise en œuvre PMR avec dalles sur plots (en remplacement d’un caillebotis) il conviendra de réaliser l’essai suivant : essai E*, réalisé au CSTB, avec une plaque pleine (type contreplaqué) simulant une dalle, positionnée à 5 mm du nez du seuil PMR.</w:t>
      </w:r>
    </w:p>
    <w:p>
      <w:pPr>
        <w:ind w:left="720" w:right="0"/>
      </w:pPr>
      <w:r>
        <w:rPr>
          <w:rStyle w:val="font_h2"/>
        </w:rPr>
        <w:t xml:space="preserve">8.59. 2023 (12) Prise en feuillure des vitrages</w:t>
      </w:r>
    </w:p>
    <w:p>
      <w:pPr/>
      <w:r>
        <w:rPr/>
        <w:t xml:space="preserve">Validé par le Groupe Spécialisé le 01/02/2024</w:t>
      </w:r>
    </w:p>
    <w:p>
      <w:pPr/>
      <w:r>
        <w:rPr>
          <w:b/>
          <w:bCs/>
        </w:rPr>
        <w:t xml:space="preserve">Description</w:t>
      </w:r>
    </w:p>
    <w:p>
      <w:pPr/>
      <w:r>
        <w:rPr/>
        <w:t xml:space="preserve">La prise en feuillure minimale nécessaire pour assurer la sécurité aux chutes des personnes sera prise en compte vis-à-vis de la joue de feuillure extérieure du dormant conformément au DTU 39 mais pas par rapport à la hauteur de la parclose intérieure.</w:t>
      </w:r>
    </w:p>
    <w:p>
      <w:pPr>
        <w:ind w:left="720" w:right="0"/>
      </w:pPr>
      <w:r>
        <w:rPr>
          <w:rStyle w:val="font_h2"/>
        </w:rPr>
        <w:t xml:space="preserve">8.60. 2024 (02) Descripteur DTA coulissants</w:t>
      </w:r>
    </w:p>
    <w:p>
      <w:pPr/>
      <w:r>
        <w:rPr/>
        <w:t xml:space="preserve">Validé par le Groupe Spécialisé le 13/03/2024</w:t>
      </w:r>
    </w:p>
    <w:p>
      <w:pPr/>
      <w:r>
        <w:rPr>
          <w:b/>
          <w:bCs/>
        </w:rPr>
        <w:t xml:space="preserve">Description</w:t>
      </w:r>
    </w:p>
    <w:p>
      <w:pPr/>
      <w:r>
        <w:rPr/>
        <w:t xml:space="preserve">Dans le cas des systèmes coulissants en aluminium RPT, dans les paragraphes Descripteur et Description, il ne sera plus précisé : « Ce système permet de réaliser des fenêtres […] dont les cadres tant dormants qu’ouvrants (sauf montant centraux) sont réalisés avec des profilés en aluminium à rupture de pont thermique » mais seulement : « Ce système permet de réaliser des fenêtres […] dont les cadres tant dormants qu’ouvrants sont réalisés avec des profilés en aluminium à rupture de pont thermique ».</w:t>
      </w:r>
    </w:p>
    <w:p>
      <w:pPr>
        <w:ind w:left="720" w:right="0"/>
      </w:pPr>
      <w:r>
        <w:rPr>
          <w:rStyle w:val="font_h2"/>
        </w:rPr>
        <w:t xml:space="preserve">8.61. 2024 (02) Mise en œuvre sur ossature métallique dans le domaine emploi</w:t>
      </w:r>
    </w:p>
    <w:p>
      <w:pPr/>
      <w:r>
        <w:rPr/>
        <w:t xml:space="preserve">Validé par le Groupe Spécialisé le 13/03/2024</w:t>
      </w:r>
    </w:p>
    <w:p>
      <w:pPr/>
      <w:r>
        <w:rPr>
          <w:b/>
          <w:bCs/>
        </w:rPr>
        <w:t xml:space="preserve">Description</w:t>
      </w:r>
    </w:p>
    <w:p>
      <w:pPr/>
      <w:r>
        <w:rPr/>
        <w:t xml:space="preserve">Pour justifier de l’ajout de la mise en œuvre sur ossature métallique dans le domaine d’emploi de son système, le demandeur devra fournir un plan de mise en œuvre en tunnel.</w:t>
      </w:r>
    </w:p>
    <w:p>
      <w:pPr>
        <w:ind w:left="720" w:right="0"/>
      </w:pPr>
      <w:r>
        <w:rPr>
          <w:rStyle w:val="font_h2"/>
        </w:rPr>
        <w:t xml:space="preserve">8.62. 2024 (03) Traitement en fin de vie</w:t>
      </w:r>
    </w:p>
    <w:p>
      <w:pPr/>
      <w:r>
        <w:rPr/>
        <w:t xml:space="preserve">Validé par le Groupe Spécialisé le 16/05/2024</w:t>
      </w:r>
    </w:p>
    <w:p>
      <w:pPr/>
      <w:r>
        <w:rPr>
          <w:b/>
          <w:bCs/>
        </w:rPr>
        <w:t xml:space="preserve">Description</w:t>
      </w:r>
    </w:p>
    <w:p>
      <w:pPr/>
      <w:r>
        <w:rPr/>
        <w:t xml:space="preserve">A partir du GS de mai, il sera ajouté dans la trame de DTA, au paragraphe « Traitement en fin de vie », le texte suivant : « Les fenêtres déposées sur des chantiers de déconstruction ou de rénovation, peuvent être collectées au travers du réseau du point de collecte mis en place par les éco-organismes accrédités par les pouvoirs publics, dans le cadre de la filière de responsabilité élargie du producteur pour les produits et matériaux de construction du bâtiment. Les produits collectés sont ensuite orientés vers les circuits de démantèlement et de valorisation des différents matériaux constitutifs de ces produits. ».</w:t>
      </w:r>
    </w:p>
    <w:p>
      <w:pPr>
        <w:ind w:left="720" w:right="0"/>
      </w:pPr>
      <w:r>
        <w:rPr>
          <w:rStyle w:val="font_h2"/>
        </w:rPr>
        <w:t xml:space="preserve">8.63. 2024 (03) Evolutions mineures : mise à jour de la liste exhaustive pour évolutions mineures</w:t>
      </w:r>
    </w:p>
    <w:p>
      <w:pPr/>
      <w:r>
        <w:rPr/>
        <w:t xml:space="preserve">Validé par le Groupe Spécialisé le 16/05/2024</w:t>
      </w:r>
    </w:p>
    <w:p>
      <w:pPr/>
      <w:r>
        <w:rPr>
          <w:b/>
          <w:bCs/>
        </w:rPr>
        <w:t xml:space="preserve">Description</w:t>
      </w:r>
    </w:p>
    <w:p>
      <w:pPr/>
      <w:r>
        <w:rPr/>
        <w:t xml:space="preserve">Parmi les propositions faites au GS6, les propositions de modifications suivantes ont été retenues :</w:t>
      </w:r>
    </w:p>
    <w:tbl>
      <w:tblGrid>
        <w:gridCol/>
        <w:gridCol/>
      </w:tblGrid>
      <w:tblPr>
        <w:tblW w:w="0" w:type="auto"/>
        <w:tblLayout w:type="autofit"/>
      </w:tblPr>
      <w:tr>
        <w:trPr>
          <w:tblHeader w:val="1"/>
        </w:trPr>
        <w:tc>
          <w:tcPr/>
          <w:p>
            <w:pPr/>
            <w:r>
              <w:rPr/>
              <w:t xml:space="preserve">Elément de la liste existante</w:t>
            </w:r>
          </w:p>
        </w:tc>
        <w:tc>
          <w:tcPr/>
          <w:p>
            <w:pPr/>
            <w:r>
              <w:rPr/>
              <w:t xml:space="preserve">Mise à jour retenue</w:t>
            </w:r>
          </w:p>
        </w:tc>
      </w:tr>
      <w:tr>
        <w:trPr/>
        <w:tc>
          <w:tcPr/>
          <w:p>
            <w:pPr/>
            <w:r>
              <w:rPr/>
              <w:t xml:space="preserve">Coffre : ajout isolant thermique avec un lambda différent, moule ou découpe au fil, sans modification de forme.</w:t>
            </w:r>
          </w:p>
        </w:tc>
        <w:tc>
          <w:tcPr/>
          <w:p>
            <w:pPr/>
            <w:r>
              <w:rPr/>
              <w:t xml:space="preserve">Le rapport d’étude thermique attesté conforme devra être mis en conformité avec les règles du cahier 3783 le cas échéant.</w:t>
            </w:r>
          </w:p>
        </w:tc>
      </w:tr>
      <w:tr>
        <w:trPr/>
        <w:tc>
          <w:tcPr/>
          <w:p>
            <w:pPr/>
            <w:r>
              <w:rPr/>
              <w:t xml:space="preserve">Modification matière garniture de joint pour partie fixe dormant ou parclose intérieure uniquement.</w:t>
            </w:r>
          </w:p>
        </w:tc>
        <w:tc>
          <w:tcPr/>
          <w:p>
            <w:pPr/>
            <w:r>
              <w:rPr/>
              <w:t xml:space="preserve">Devient : « Modification matière garniture de joint pour joint de vitrage sauf parclose extérieure ».</w:t>
            </w:r>
          </w:p>
        </w:tc>
      </w:tr>
      <w:tr>
        <w:trPr/>
        <w:tc>
          <w:tcPr/>
          <w:p>
            <w:pPr/>
            <w:r>
              <w:rPr/>
              <w:t xml:space="preserve">Modification de la géométrie non fonctionnelle (voir image) des profiles suivants :</w:t>
            </w:r>
          </w:p>
        </w:tc>
        <w:tc>
          <w:tcPr/>
          <w:p>
            <w:pPr/>
            <w:r>
              <w:rPr/>
              <w:t xml:space="preserve">Ajout ou modification des profilés suivants, à condition que la seule modification concerne la géométrie non fonctionnelle (voir image) :</w:t>
            </w:r>
          </w:p>
        </w:tc>
      </w:tr>
      <w:tr>
        <w:trPr/>
        <w:tc>
          <w:tcPr/>
          <w:p>
            <w:pPr/>
            <w:r>
              <w:rPr/>
              <w:t xml:space="preserve">Changement de référence (sans changement de pièce).</w:t>
            </w:r>
          </w:p>
        </w:tc>
        <w:tc>
          <w:tcPr/>
          <w:p>
            <w:pPr/>
            <w:r>
              <w:rPr/>
              <w:t xml:space="preserve">Changement de référence (sans modification de la pièce ou du profilé).</w:t>
            </w:r>
          </w:p>
        </w:tc>
      </w:tr>
    </w:tbl>
    <w:p>
      <w:pPr/>
      <w:r>
        <w:rPr/>
        <w:t xml:space="preserve">Parmi les propositions faites au GS6, les propositions de nouvelles modifications mineures suivantes ont été retenues : </w:t>
      </w:r>
    </w:p>
    <w:p>
      <w:pPr>
        <w:pPr/>
        <w:numPr>
          <w:ilvl w:val="0"/>
          <w:numId w:val="33"/>
        </w:numPr>
      </w:pPr>
      <w:r>
        <w:rPr/>
        <w:t xml:space="preserve">Intégration d’une nouvelle unité d’extrusion pour des profilés en matière « PX », à condition que la nouvelle unité soit déjà suivie dans le cadre d’un suivi DTA pour de l’extrusion de profilés ;</w:t>
      </w:r>
    </w:p>
    <w:p>
      <w:pPr>
        <w:pPr/>
        <w:numPr>
          <w:ilvl w:val="0"/>
          <w:numId w:val="33"/>
        </w:numPr>
      </w:pPr>
      <w:r>
        <w:rPr/>
        <w:t xml:space="preserve">Passage d’une pièce non structurelle imprimée en 3D, vers une pièce réalisée par injection (forme et matière restant identiques). </w:t>
      </w:r>
    </w:p>
    <w:p>
      <w:pPr/>
      <w:r>
        <w:rPr/>
        <w:t xml:space="preserve">Ce lien renvoi vers la dernière version en vigueur, tenue à jour.</w:t>
      </w:r>
    </w:p>
    <w:p>
      <w:pPr>
        <w:ind w:left="720" w:right="0"/>
      </w:pPr>
      <w:r>
        <w:rPr>
          <w:rStyle w:val="font_h2"/>
        </w:rPr>
        <w:t xml:space="preserve">8.64. 2024 (06) Dispositions spécifiques aux seuils PMR</w:t>
      </w:r>
    </w:p>
    <w:p>
      <w:pPr/>
      <w:r>
        <w:rPr/>
        <w:t xml:space="preserve">Validé par le Groupe Spécialisé le 12/09/2024</w:t>
      </w:r>
    </w:p>
    <w:p>
      <w:pPr/>
      <w:r>
        <w:rPr>
          <w:b/>
          <w:bCs/>
        </w:rPr>
        <w:t xml:space="preserve">Description</w:t>
      </w:r>
    </w:p>
    <w:p>
      <w:pPr/>
      <w:r>
        <w:rPr/>
        <w:t xml:space="preserve">En partie 2.4 « Dispositions de mise en œuvre », le paragraphe « Cas des dispositions PMR » est ajouté. Celui-ci précise les cas d’utilisation, soit « Des caillebottis doivent être utilisés dans le cadre de la mise en œuvre PMR. », soit « Des caillebottis mais aussi des dalles sur plots peuvent être utilisés dans le cadre de la mise en œuvre PMR. ». Cette phrase est à adapter selon le contenu du DTA et les justifications fournies. Un essai d’étanchéité à l’eau satisfaisant avec un dispositif simulant les dalles sur plot sera nécessaire pour que cette disposition soit ajoutée à ce nouveau paragraphe.</w:t>
      </w:r>
    </w:p>
    <w:p>
      <w:pPr>
        <w:ind w:left="720" w:right="0"/>
      </w:pPr>
      <w:r>
        <w:rPr>
          <w:rStyle w:val="font_h2"/>
        </w:rPr>
        <w:t xml:space="preserve">8.65. 2025 (02) Justification de la compatibilité et de l’adhésivité-cohésion des mastics</w:t>
      </w:r>
    </w:p>
    <w:p>
      <w:pPr/>
      <w:r>
        <w:rPr/>
        <w:t xml:space="preserve">Validé par le Groupe Spécialisé le 13/03/2025</w:t>
      </w:r>
    </w:p>
    <w:p>
      <w:pPr/>
      <w:r>
        <w:rPr>
          <w:b/>
          <w:bCs/>
        </w:rPr>
        <w:t xml:space="preserve">Description</w:t>
      </w:r>
    </w:p>
    <w:p>
      <w:pPr/>
      <w:r>
        <w:rPr/>
        <w:t xml:space="preserve">La compatibilité des mastics/silicones est à justifier systématiquement pour chaque contact avec un matériau environnant (hors profilés de fenêtre (PVC, alu, acier) sauf cas particuliers). Cette justification consiste en la réalisation d’un essai conformément au NF DTU 39 P1-2 Annexe A.2.Dans les cas où l’adhésivité-cohésion des mastics/silicones est à justifier, elle doit l’être avec chaque matériau environnant (profilés, accessoires, fond de joints, …) à l’aide d’essais de convenance selon les procédures définies dans le NF DTU 36.5 P1-1.</w:t>
      </w:r>
    </w:p>
    <w:p>
      <w:pPr>
        <w:ind w:left="720" w:right="0"/>
      </w:pPr>
      <w:r>
        <w:rPr>
          <w:rStyle w:val="font_h2"/>
        </w:rPr>
        <w:t xml:space="preserve">8.66. 2025 (03) Protection de la traverse haute dans le cas des bardages ventilés</w:t>
      </w:r>
    </w:p>
    <w:p>
      <w:pPr/>
      <w:r>
        <w:rPr/>
        <w:t xml:space="preserve">Validé par le Groupe Spécialisé le 15/05/2025</w:t>
      </w:r>
    </w:p>
    <w:p>
      <w:pPr/>
      <w:r>
        <w:rPr>
          <w:b/>
          <w:bCs/>
        </w:rPr>
        <w:t xml:space="preserve">Description</w:t>
      </w:r>
    </w:p>
    <w:p>
      <w:pPr/>
      <w:r>
        <w:rPr/>
        <w:t xml:space="preserve">La phrase « Dans le cas de mise en œuvre en ITE avec bardage ventilé, il y aura lieu de prévoir une protection de la traverse haute de manière systématique (de type membrane, larmier, …). » sera ajoutée systématiquement dans chapitre Dispositions de mise en œuvre, dans le paragraphe Cas de l’ITE.</w:t>
      </w:r>
    </w:p>
    <w:p>
      <w:pPr>
        <w:ind w:left="720" w:right="0"/>
      </w:pPr>
      <w:r>
        <w:rPr>
          <w:rStyle w:val="font_h2"/>
        </w:rPr>
        <w:t xml:space="preserve">8.67. 2025 (06) Réalisation de l’essai à l’eau E* avec reconstitution de dalle sur plot</w:t>
      </w:r>
    </w:p>
    <w:p>
      <w:pPr/>
      <w:r>
        <w:rPr/>
        <w:t xml:space="preserve">Validé par le Groupe Spécialisé le 18/09/2025</w:t>
      </w:r>
    </w:p>
    <w:p>
      <w:pPr/>
      <w:r>
        <w:rPr>
          <w:b/>
          <w:bCs/>
        </w:rPr>
        <w:t xml:space="preserve">Description</w:t>
      </w:r>
    </w:p>
    <w:p>
      <w:pPr/>
      <w:r>
        <w:rPr/>
        <w:t xml:space="preserve">En complément de la jurisprudence de décembre 2023 concernant la réalisation d’essais avec dalles sur plots, si revendiqué, le GS6 acte le protocole suivant : planche en contre-plaqué mise en place à 5 mm de la fenêtre avec un espace libre entre la planche et le mur du banc d’essais de 20 mm environ, des perçages de diamètre 24 mm seront réalisés tous les 500 mm.</w:t>
      </w:r>
    </w:p>
    <w:p>
      <w:pPr>
        <w:ind w:left="720" w:right="0"/>
      </w:pPr>
      <w:r>
        <w:rPr>
          <w:rStyle w:val="font_h2"/>
        </w:rPr>
        <w:t xml:space="preserve">8.68. 2025 (06) Ajout paragraphe concernant l’évaluation du risque de chute</w:t>
      </w:r>
    </w:p>
    <w:p>
      <w:pPr/>
      <w:r>
        <w:rPr/>
        <w:t xml:space="preserve">Validé par le Groupe Spécialisé le 18/09/2025</w:t>
      </w:r>
    </w:p>
    <w:p>
      <w:pPr/>
      <w:r>
        <w:rPr>
          <w:b/>
          <w:bCs/>
        </w:rPr>
        <w:t xml:space="preserve">Description</w:t>
      </w:r>
    </w:p>
    <w:p>
      <w:pPr/>
      <w:r>
        <w:rPr/>
        <w:t xml:space="preserve">Rappel de la jurisprudence de juin 2015 :Lorsque les feuillures d’ouvrant ou dormant ne répondent pas aux exigences du DTU 39 P5 § 4.2.3, la remarque suivante, sera ajoutée au § 2.1 Domaine d’emploi accepté de la partie Avis du DTA :« Le système tel que décrit dans le Dossier Technique ne répond pas aux exigences du DTU 39 P5 § 4.2.3, vis-à-vis de la sécurité aux chutes des personnes. » </w:t>
      </w:r>
    </w:p>
    <w:p>
      <w:pPr/>
      <w:r>
        <w:rPr/>
        <w:t xml:space="preserve">Cette jurisprudence est complétée de la manière suivante :Si deux essais de choc selon la NF P 08-302 (largeur mini et largeur maxi) sont réalisés dans le cadre de l’instruction, la remarque devient : « la sécurité aux chutes des personnes n’est pas évaluée dans le présent document. Il conviendra de l’’évaluer au cas par cas et de s’assurer du respect du calage du vitrage conformément au NF DTU 39 ou NF P 20-650-1 ».</w:t>
      </w:r>
    </w:p>
    <w:p>
      <w:pPr>
        <w:ind w:left="720" w:right="0"/>
      </w:pPr>
      <w:r>
        <w:rPr>
          <w:rStyle w:val="font_h2"/>
        </w:rPr>
        <w:t xml:space="preserve">8.69. 2025 (09) Classement minimum obtenu à l’essai de perméabilité à l’air sous gradient de température</w:t>
      </w:r>
    </w:p>
    <w:p>
      <w:pPr/>
      <w:r>
        <w:rPr/>
        <w:t xml:space="preserve">Validé par le Groupe Spécialisé le 16/10/2025</w:t>
      </w:r>
    </w:p>
    <w:p>
      <w:pPr/>
      <w:r>
        <w:rPr>
          <w:b/>
          <w:bCs/>
        </w:rPr>
        <w:t xml:space="preserve">Description</w:t>
      </w:r>
    </w:p>
    <w:p>
      <w:pPr/>
      <w:r>
        <w:rPr/>
        <w:t xml:space="preserve">Lors de l’essai de perméabilité sous gradient de température, les résultats suivants peuvent être obtenus : </w:t>
      </w:r>
    </w:p>
    <w:p>
      <w:pPr>
        <w:pPr/>
        <w:numPr>
          <w:ilvl w:val="0"/>
          <w:numId w:val="34"/>
        </w:numPr>
      </w:pPr>
      <w:r>
        <w:rPr/>
        <w:t xml:space="preserve">Classement A*3 : la justification est jugée recevable. </w:t>
      </w:r>
    </w:p>
    <w:p>
      <w:pPr>
        <w:pPr/>
        <w:numPr>
          <w:ilvl w:val="0"/>
          <w:numId w:val="34"/>
        </w:numPr>
      </w:pPr>
      <w:r>
        <w:rPr/>
        <w:t xml:space="preserve">Classement A*3 jusqu’à 450 Pa : la justification est présentable devant le GS6 qui jugera à dire d’experts. </w:t>
      </w:r>
    </w:p>
    <w:p>
      <w:pPr>
        <w:pPr/>
        <w:numPr>
          <w:ilvl w:val="0"/>
          <w:numId w:val="34"/>
        </w:numPr>
      </w:pPr>
      <w:r>
        <w:rPr/>
        <w:t xml:space="preserve">Classement inférieur à A*3 à 450 Pa : la justification n’est pas recevable.</w:t>
      </w:r>
    </w:p>
    <w:p>
      <w:pPr>
        <w:ind w:left="720" w:right="0"/>
      </w:pPr>
      <w:r>
        <w:rPr>
          <w:rStyle w:val="font_h2"/>
        </w:rPr>
        <w:t xml:space="preserve">8.70. 2025 (10) Intégration des vitrages simples dans les DTA</w:t>
      </w:r>
    </w:p>
    <w:p>
      <w:pPr/>
      <w:r>
        <w:rPr/>
        <w:t xml:space="preserve">Validé par le Groupe Spécialisé le 13/11/2025</w:t>
      </w:r>
    </w:p>
    <w:p>
      <w:pPr/>
      <w:r>
        <w:rPr>
          <w:b/>
          <w:bCs/>
        </w:rPr>
        <w:t xml:space="preserve">Description</w:t>
      </w:r>
    </w:p>
    <w:p>
      <w:pPr/>
      <w:r>
        <w:rPr/>
        <w:t xml:space="preserve">Plusieurs types de vitrages peuvent être revendiqués dans les DTA : </w:t>
      </w:r>
    </w:p>
    <w:p>
      <w:pPr>
        <w:pPr/>
        <w:numPr>
          <w:ilvl w:val="0"/>
          <w:numId w:val="35"/>
        </w:numPr>
      </w:pPr>
      <w:r>
        <w:rPr/>
        <w:t xml:space="preserve">les vitrages isolants doubles et/ou triples ; </w:t>
      </w:r>
    </w:p>
    <w:p>
      <w:pPr>
        <w:pPr/>
        <w:numPr>
          <w:ilvl w:val="0"/>
          <w:numId w:val="35"/>
        </w:numPr>
      </w:pPr>
      <w:r>
        <w:rPr/>
        <w:t xml:space="preserve">les vitrages isolants simples justifiant de performances thermiques (exemple : vitrages sous vide) ; </w:t>
      </w:r>
    </w:p>
    <w:p>
      <w:pPr>
        <w:pPr/>
        <w:numPr>
          <w:ilvl w:val="0"/>
          <w:numId w:val="35"/>
        </w:numPr>
      </w:pPr>
      <w:r>
        <w:rPr/>
        <w:t xml:space="preserve">les vitrages simples (non-isolant). </w:t>
      </w:r>
    </w:p>
    <w:p>
      <w:pPr/>
      <w:r>
        <w:rPr/>
        <w:t xml:space="preserve">Dans le cas des vitrages simples (non-isolant), le GS exige que le système prévoie une solution de récupération des eaux de condensation. </w:t>
      </w:r>
    </w:p>
    <w:p>
      <w:pPr/>
      <w:r>
        <w:rPr/>
        <w:t xml:space="preserve">Cependant, le GS prévoit dorénavant un cas ne nécessitant pas de récupération des eaux de condensation. </w:t>
      </w:r>
    </w:p>
    <w:p>
      <w:pPr/>
      <w:r>
        <w:rPr/>
        <w:t xml:space="preserve">Il s’agit du cas où l’utilisation des vitrages simples est exclusivement réservée à des locaux non chauffés. Dans ce cas les éléments suivants seront précisés dans le DTA : </w:t>
      </w:r>
    </w:p>
    <w:p>
      <w:pPr>
        <w:pPr/>
        <w:numPr>
          <w:ilvl w:val="0"/>
          <w:numId w:val="36"/>
        </w:numPr>
      </w:pPr>
      <w:r>
        <w:rPr/>
        <w:t xml:space="preserve">paragraphes « domaine d’emploi », « remarques du GS » et « vitrage » : une phrase complémentaire sera ajoutée, précisant que l’utilisation de vitrage simple est exclusivement réservée à des locaux non chauffés ; </w:t>
      </w:r>
    </w:p>
    <w:p>
      <w:pPr>
        <w:pPr/>
        <w:numPr>
          <w:ilvl w:val="0"/>
          <w:numId w:val="36"/>
        </w:numPr>
      </w:pPr>
      <w:r>
        <w:rPr/>
        <w:t xml:space="preserve">planches de profilés : les profilés concernés (parcloses de grande profondeur par exemple) seront identifiés par un astérisque stipulant « * : profilés réservés aux fenêtres mises en œuvre dans des pièces non chauffées ».</w:t>
      </w:r>
    </w:p>
    <w:p>
      <w:pPr>
        <w:ind w:left="720" w:right="0"/>
      </w:pPr>
      <w:r>
        <w:rPr>
          <w:rStyle w:val="font_h2"/>
        </w:rPr>
        <w:t xml:space="preserve">8.71. 2025 (10) Evolution de la liste exhaustive concernant la procédure d'évolutions mineures</w:t>
      </w:r>
    </w:p>
    <w:p>
      <w:pPr/>
      <w:r>
        <w:rPr/>
        <w:t xml:space="preserve">Validé par le Groupe Spécialisé le 13/11/2025</w:t>
      </w:r>
    </w:p>
    <w:p>
      <w:pPr/>
      <w:r>
        <w:rPr>
          <w:b/>
          <w:bCs/>
        </w:rPr>
        <w:t xml:space="preserve">Description</w:t>
      </w:r>
    </w:p>
    <w:p>
      <w:pPr/>
      <w:r>
        <w:rPr/>
        <w:t xml:space="preserve">Les propositions de modifications ont été examinées par le GS. La liste exhaustive sera mise à jour en conséquence et envoyée aux membres du GS.</w:t>
      </w:r>
    </w:p>
    <w:p>
      <w:pPr/>
      <w:r>
        <w:rPr/>
        <w:t xml:space="preserve">La liste des évolutions mineures « Simplification des DTA-AT du GS6_V3_2025 » est disponible au lien ci-dessous.</w:t>
      </w:r>
    </w:p>
    <w:p>
      <w:pPr>
        <w:ind w:left="720" w:right="0"/>
      </w:pPr>
      <w:r>
        <w:rPr>
          <w:rStyle w:val="font_h2"/>
        </w:rPr>
        <w:t xml:space="preserve">8.72. 2025 (12) Reformulation du paragraphe « Cas des dispositions PMR »</w:t>
      </w:r>
    </w:p>
    <w:p>
      <w:pPr/>
      <w:r>
        <w:rPr/>
        <w:t xml:space="preserve">Validé par le Groupe Spécialisé le 05/02/2026</w:t>
      </w:r>
    </w:p>
    <w:p>
      <w:pPr/>
      <w:r>
        <w:rPr>
          <w:b/>
          <w:bCs/>
        </w:rPr>
        <w:t xml:space="preserve">Description</w:t>
      </w:r>
    </w:p>
    <w:p>
      <w:pPr/>
      <w:r>
        <w:rPr/>
        <w:t xml:space="preserve">Dans le cas où une justification a été apportée vis à vis des systèmes sur plots, la phrase type du DTA est reformulée comme suit : « Des caillebotis mais aussi des systèmes sur plots (exemple : dalles) peuvent être utilisés dans le cadre de la mise en œuvre PMR selon le cahier du CSTB 3706_V2 (positionnés à une distance de 5 mm à 18 mm du nez de seuil) ».</w:t>
      </w:r>
    </w:p>
    <w:p>
      <w:pPr>
        <w:ind w:left="720" w:right="0"/>
      </w:pPr>
      <w:r>
        <w:rPr>
          <w:rStyle w:val="font_h2"/>
        </w:rPr>
        <w:t xml:space="preserve">8.73. 2025 (12) Eléments de preuves recevables concernant les DTA dont le domaine d'emploi couvre l'outremer (soumis à la réglementation paracyclonique)</w:t>
      </w:r>
    </w:p>
    <w:p>
      <w:pPr/>
      <w:r>
        <w:rPr/>
        <w:t xml:space="preserve">Validé par le Groupe Spécialisé le 05/02/2026</w:t>
      </w:r>
    </w:p>
    <w:p>
      <w:pPr/>
      <w:r>
        <w:rPr>
          <w:b/>
          <w:bCs/>
        </w:rPr>
        <w:t xml:space="preserve">Description</w:t>
      </w:r>
    </w:p>
    <w:p>
      <w:pPr/>
      <w:r>
        <w:rPr/>
        <w:t xml:space="preserve">Le CSTB a présenté le protocole d’essais rédigé retenu concernant la résistance aux chocs des fenêtres suite aux échanges de la dernière séance. Ce protocole est en pièce jointe du présent compte rendu et sera disponible sur le site de la CCFAT. Il est applicable à compter du 1er janvier pour tous les dossiers présentés en GS6 se revendiquant du domaine d’emploi visé.</w:t>
      </w:r>
    </w:p>
    <w:p>
      <w:pPr/>
      <w:r>
        <w:rPr/>
        <w:t xml:space="preserve">Le document « Protocole d’essai de résistance au choc des fenêtres » est disponible au lien ci-dessous.</w:t>
      </w:r>
    </w:p>
    <w:p>
      <w:pPr>
        <w:ind w:left="720" w:right="0"/>
      </w:pPr>
      <w:r>
        <w:rPr>
          <w:rStyle w:val="font_h2"/>
        </w:rPr>
        <w:t xml:space="preserve">8.74. 2026 (02) Accessibilité aux handicapés</w:t>
      </w:r>
    </w:p>
    <w:p>
      <w:pPr/>
      <w:r>
        <w:rPr/>
        <w:t xml:space="preserve">Validé par le Groupe Spécialisé le 19/03/2026</w:t>
      </w:r>
    </w:p>
    <w:p>
      <w:pPr/>
      <w:r>
        <w:rPr>
          <w:b/>
          <w:bCs/>
        </w:rPr>
        <w:t xml:space="preserve">Description</w:t>
      </w:r>
    </w:p>
    <w:p>
      <w:pPr/>
      <w:r>
        <w:rPr/>
        <w:t xml:space="preserve">Dans les cas où le seuil PMR n’incorpore pas de réservation spécifique pour le calfeutrement, le paragraphe 1.2.1.11 « Accessibilité aux handicapés » du DTA devient : « Ce système dispose d’une solution de seuil, qui sans avoir recours à une rampe amovible intérieure, pour peu qu’il soit encastré, permet l’accès aux handicapés au sens de l’arrêté du 30 novembre 2007. »</w:t>
      </w:r>
    </w:p>
    <w:p>
      <w:pPr>
        <w:ind w:left="720" w:right="0"/>
      </w:pPr>
      <w:r>
        <w:rPr>
          <w:rStyle w:val="font_h2"/>
        </w:rPr>
        <w:t xml:space="preserve">8.75. 2026 (03) Limitation du domaine d’emploi des systèmes prévoyant une mise en œuvre dans des panneaux sandwich</w:t>
      </w:r>
    </w:p>
    <w:p>
      <w:pPr/>
      <w:r>
        <w:rPr/>
        <w:t xml:space="preserve">Validé par le Groupe Spécialisé le 21/05/2026</w:t>
      </w:r>
    </w:p>
    <w:p>
      <w:pPr/>
      <w:r>
        <w:rPr>
          <w:b/>
          <w:bCs/>
        </w:rPr>
        <w:t xml:space="preserve">Description</w:t>
      </w:r>
    </w:p>
    <w:p>
      <w:pPr/>
      <w:r>
        <w:rPr/>
        <w:t xml:space="preserve">Rappel : le GS6 n’autorisait pas dans un même DTA des systèmes qui prévoyaient au domaine d’emploi une mise en œuvre sur panneaux sandwich et une mise en œuvre sur structure rigide.</w:t>
      </w:r>
    </w:p>
    <w:p>
      <w:pPr/>
      <w:r>
        <w:rPr/>
        <w:t xml:space="preserve">Le GS6 modifie sa position comme suit : le GS6 autorise dans un même DTA des systèmes qui prévoient une mise en œuvre par clippage et une mise en œuvre classique (vissage). Cela permet aux systèmes prévoyant une mise en œuvre par clippage de pouvoir revendiquer dans un même DTA le domaine d’emploi de mise en œuvre sur panneaux sandwich et sur structure rigide (sous réserve d’apporter toutes les justifications nécessaires).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2ABA9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A2E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4FD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66CA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81BC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4D89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2CD5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3449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5E45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FC00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E419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4BC9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BDFE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5AFB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4F20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F54C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7026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0087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1E63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FDC9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E26D5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18FA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765D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891DB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CA9BC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28117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8F456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DF04F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2026-08-08T20:37:48+02:00</dcterms:created>
  <dcterms:modified xsi:type="dcterms:W3CDTF">2026-08-08T20:37:48+02:00</dcterms:modified>
</cp:coreProperties>
</file>

<file path=docProps/custom.xml><?xml version="1.0" encoding="utf-8"?>
<Properties xmlns="http://schemas.openxmlformats.org/officeDocument/2006/custom-properties" xmlns:vt="http://schemas.openxmlformats.org/officeDocument/2006/docPropsVTypes"/>
</file>