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12608 + référentiel QB 59) ;</w:t>
      </w:r>
    </w:p>
    <w:p>
      <w:pPr>
        <w:pPr/>
        <w:numPr>
          <w:ilvl w:val="1"/>
          <w:numId w:val="15"/>
        </w:numPr>
      </w:pPr>
      <w:r>
        <w:rPr>
          <w:i/>
          <w:iCs/>
        </w:rPr>
        <w:t xml:space="preserve">profilés aluminium RPT (Cf NF EN 14 024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8.70.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8.71.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8.72. 2025 (12) Reformulation du paragraphe « Cas des dispositions PMR »</w:t>
      </w:r>
    </w:p>
    <w:p>
      <w:pPr/>
      <w:r>
        <w:rPr/>
        <w:t xml:space="preserve">Validé par le Groupe Spécialisé le 05/02/2026</w:t>
      </w:r>
    </w:p>
    <w:p>
      <w:pPr/>
      <w:r>
        <w:rPr>
          <w:b/>
          <w:bCs/>
        </w:rPr>
        <w:t xml:space="preserve">Description</w:t>
      </w:r>
    </w:p>
    <w:p>
      <w:pPr/>
      <w:r>
        <w:rPr/>
        <w:t xml:space="preserve">Dans le cas où une justification a été apportée vis à vis des systèmes sur plots, la phrase type du DTA est reformulée comme suit : « Des caillebotis mais aussi des systèmes sur plots (exemple : dalles) peuvent être utilisés dans le cadre de la mise en œuvre PMR selon le cahier du CSTB 3706_V2 (positionnés à une distance de 5 mm à 18 mm du nez de seuil) ».</w:t>
      </w:r>
    </w:p>
    <w:p>
      <w:pPr>
        <w:ind w:left="720" w:right="0"/>
      </w:pPr>
      <w:r>
        <w:rPr>
          <w:rStyle w:val="font_h2"/>
        </w:rPr>
        <w:t xml:space="preserve">8.73. 2025 (12) Eléments de preuves recevables concernant les DTA dont le domaine d'emploi couvre l'outremer (soumis à la réglementation paracyclonique)</w:t>
      </w:r>
    </w:p>
    <w:p>
      <w:pPr/>
      <w:r>
        <w:rPr/>
        <w:t xml:space="preserve">Validé par le Groupe Spécialisé le 05/02/2026</w:t>
      </w:r>
    </w:p>
    <w:p>
      <w:pPr/>
      <w:r>
        <w:rPr>
          <w:b/>
          <w:bCs/>
        </w:rPr>
        <w:t xml:space="preserve">Description</w:t>
      </w:r>
    </w:p>
    <w:p>
      <w:pPr/>
      <w:r>
        <w:rPr/>
        <w:t xml:space="preserve">Le CSTB a présenté le protocole d’essais rédigé retenu concernant la résistance aux chocs des fenêtres suite aux échanges de la dernière séance. Ce protocole est en pièce jointe du présent compte rendu et sera disponible sur le site de la CCFAT. Il est applicable à compter du 1er janvier pour tous les dossiers présentés en GS6 se revendiquant du domaine d’emploi visé.</w:t>
      </w:r>
    </w:p>
    <w:p>
      <w:pPr/>
      <w:r>
        <w:rPr/>
        <w:t xml:space="preserve">Le document « Protocole d’essai de résistance au choc des fenêtres » est disponible au lien ci-dessous.</w:t>
      </w:r>
    </w:p>
    <w:p>
      <w:pPr>
        <w:ind w:left="720" w:right="0"/>
      </w:pPr>
      <w:r>
        <w:rPr>
          <w:rStyle w:val="font_h2"/>
        </w:rPr>
        <w:t xml:space="preserve">8.74. 2026 (02) Accessibilité aux handicapés</w:t>
      </w:r>
    </w:p>
    <w:p>
      <w:pPr/>
      <w:r>
        <w:rPr/>
        <w:t xml:space="preserve">Validé par le Groupe Spécialisé le 19/03/2026</w:t>
      </w:r>
    </w:p>
    <w:p>
      <w:pPr/>
      <w:r>
        <w:rPr>
          <w:b/>
          <w:bCs/>
        </w:rPr>
        <w:t xml:space="preserve">Description</w:t>
      </w:r>
    </w:p>
    <w:p>
      <w:pPr/>
      <w:r>
        <w:rPr/>
        <w:t xml:space="preserve">Dans les cas où le seuil PMR n’incorpore pas de réservation spécifique pour le calfeutrement, le paragraphe 1.2.1.11 « Accessibilité aux handicapés » du DTA devient : « Ce système dispose d’une solution de seuil, qui sans avoir recours à une rampe amovible intérieure, pour peu qu’il soit encastré, permet l’accès aux handicapés au sens de l’arrêté du 30 novembre 2007. »</w:t>
      </w:r>
    </w:p>
    <w:p>
      <w:pPr>
        <w:ind w:left="720" w:right="0"/>
      </w:pPr>
      <w:r>
        <w:rPr>
          <w:rStyle w:val="font_h2"/>
        </w:rPr>
        <w:t xml:space="preserve">8.75. 2026 (03) Limitation du domaine d’emploi des systèmes prévoyant une mise en œuvre dans des panneaux sandwich</w:t>
      </w:r>
    </w:p>
    <w:p>
      <w:pPr/>
      <w:r>
        <w:rPr/>
        <w:t xml:space="preserve">Validé par le Groupe Spécialisé le 21/05/2026</w:t>
      </w:r>
    </w:p>
    <w:p>
      <w:pPr/>
      <w:r>
        <w:rPr>
          <w:b/>
          <w:bCs/>
        </w:rPr>
        <w:t xml:space="preserve">Description</w:t>
      </w:r>
    </w:p>
    <w:p>
      <w:pPr/>
      <w:r>
        <w:rPr/>
        <w:t xml:space="preserve">Rappel : le GS6 n’autorisait pas dans un même DTA des systèmes qui prévoyaient au domaine d’emploi une mise en œuvre sur panneaux sandwich et une mise en œuvre sur structure rigide.</w:t>
      </w:r>
    </w:p>
    <w:p>
      <w:pPr/>
      <w:r>
        <w:rPr/>
        <w:t xml:space="preserve">Le GS6 modifie sa position comme suit : le GS6 autorise dans un même DTA des systèmes qui prévoient une mise en œuvre par clippage et une mise en œuvre classique (vissage). Cela permet aux systèmes prévoyant une mise en œuvre par clippage de pouvoir revendiquer dans un même DTA le domaine d’emploi de mise en œuvre sur panneaux sandwich et sur structure rigide (sous réserve d’apporter toutes les justifications nécessaires).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130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6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3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67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CE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E5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07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83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2B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A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F7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E0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6E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BF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5B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F9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C2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5E7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5C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43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B5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6B7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E33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AA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CF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A4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15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D16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2026-06-20T17:59:04+02:00</dcterms:created>
  <dcterms:modified xsi:type="dcterms:W3CDTF">2026-06-20T17:59:04+02:00</dcterms:modified>
</cp:coreProperties>
</file>

<file path=docProps/custom.xml><?xml version="1.0" encoding="utf-8"?>
<Properties xmlns="http://schemas.openxmlformats.org/officeDocument/2006/custom-properties" xmlns:vt="http://schemas.openxmlformats.org/officeDocument/2006/docPropsVTypes"/>
</file>