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Rupture de pont thermique</w:t>
      </w:r>
    </w:p>
    <w:p>
      <w:pPr>
        <w:ind w:left="1440" w:right="0"/>
      </w:pPr>
      <w:r>
        <w:rPr>
          <w:rStyle w:val="font_h3"/>
        </w:rPr>
        <w:t xml:space="preserve">4.1.3. Traitement de surface</w:t>
      </w:r>
    </w:p>
    <w:p>
      <w:pPr>
        <w:ind w:left="1440" w:right="0"/>
      </w:pPr>
      <w:r>
        <w:rPr>
          <w:rStyle w:val="font_h3"/>
        </w:rPr>
        <w:t xml:space="preserve">4.1.4. Assemblage des coupures thermiques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Coupures thermiques</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3709_V2,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3709_V2,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 l’aptitude à l’emploi du système évalué.</w:t>
      </w:r>
    </w:p>
    <w:p>
      <w:pPr>
        <w:pPr/>
        <w:numPr>
          <w:ilvl w:val="0"/>
          <w:numId w:val="14"/>
        </w:numPr>
      </w:pPr>
      <w:r>
        <w:rPr/>
        <w:t xml:space="preserve">Sur les constituants :</w:t>
      </w:r>
    </w:p>
    <w:p>
      <w:pPr>
        <w:pPr/>
        <w:numPr>
          <w:ilvl w:val="1"/>
          <w:numId w:val="14"/>
        </w:numPr>
      </w:pPr>
      <w:r>
        <w:rPr>
          <w:i/>
          <w:iCs/>
        </w:rPr>
        <w:t xml:space="preserve">profilés aluminium RPT (Cf NF EN 14 024 + référentiel QB 49) ;</w:t>
      </w:r>
    </w:p>
    <w:p>
      <w:pPr>
        <w:pPr/>
        <w:numPr>
          <w:ilvl w:val="1"/>
          <w:numId w:val="14"/>
        </w:numPr>
      </w:pPr>
      <w:r>
        <w:rPr>
          <w:i/>
          <w:iCs/>
        </w:rPr>
        <w:t xml:space="preserve">profilés complémentaires en PVC (Fournir la composition vinylique et un engagement par écrit, sur papier entête du fabricant, de conformité aux spécifications de durabilité de la norme NF T54-405 ou de la norme NF EN 12608 avec en appui de cet engagement les justifications expérimentales (Engagement non nécessaire si la composition matière est certifiée au CSTB))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8.11.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8.12.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8.13.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8.14.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8.15.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8.17.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8.18.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8.19.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8.20.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8.21.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8.22.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8.35.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8.36.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8.37.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8.40. 2022 (03) Condition d'extension des dimensions pour les fenêtres coulissantes certifiées</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8"/>
        </w:numPr>
      </w:pPr>
      <w:r>
        <w:rPr/>
        <w:t xml:space="preserve">Garantir une constance de qualité de fabrication et une constance de la composition chimique.</w:t>
      </w:r>
    </w:p>
    <w:p>
      <w:pPr>
        <w:pPr/>
        <w:numPr>
          <w:ilvl w:val="0"/>
          <w:numId w:val="28"/>
        </w:numPr>
      </w:pPr>
      <w:r>
        <w:rPr/>
        <w:t xml:space="preserve">En cas de changement, informer le CSTB de toute modification de la composition de son produit.</w:t>
      </w:r>
    </w:p>
    <w:p>
      <w:pPr>
        <w:pPr/>
        <w:numPr>
          <w:ilvl w:val="0"/>
          <w:numId w:val="28"/>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9"/>
        </w:numPr>
      </w:pPr>
      <w:r>
        <w:rPr/>
        <w:t xml:space="preserve">Pour tous les nouveaux systèmes ;</w:t>
      </w:r>
    </w:p>
    <w:p>
      <w:pPr>
        <w:pPr/>
        <w:numPr>
          <w:ilvl w:val="0"/>
          <w:numId w:val="29"/>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8.47.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8.48.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8.50.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0"/>
        </w:numPr>
      </w:pPr>
      <w:r>
        <w:rPr/>
        <w:t xml:space="preserve">le préciser dans le paragraphe « domaine d’emploi », </w:t>
      </w:r>
    </w:p>
    <w:p>
      <w:pPr>
        <w:pPr/>
        <w:numPr>
          <w:ilvl w:val="0"/>
          <w:numId w:val="30"/>
        </w:numPr>
      </w:pPr>
      <w:r>
        <w:rPr/>
        <w:t xml:space="preserve">l’indiquer dans le paragraphe « remarques complémentaires du groupe spécialisé », </w:t>
      </w:r>
    </w:p>
    <w:p>
      <w:pPr>
        <w:pPr/>
        <w:numPr>
          <w:ilvl w:val="0"/>
          <w:numId w:val="30"/>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8.59.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8.60.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8.61.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1"/>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1"/>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8.63.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8.64.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8.65.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8.66.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8.67.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2"/>
        </w:numPr>
      </w:pPr>
      <w:r>
        <w:rPr/>
        <w:t xml:space="preserve">Classement A*3 : la justification est jugée recevable. </w:t>
      </w:r>
    </w:p>
    <w:p>
      <w:pPr>
        <w:pPr/>
        <w:numPr>
          <w:ilvl w:val="0"/>
          <w:numId w:val="32"/>
        </w:numPr>
      </w:pPr>
      <w:r>
        <w:rPr/>
        <w:t xml:space="preserve">Classement A*3 jusqu’à 450 Pa : la justification est présentable devant le GS6 qui jugera à dire d’experts. </w:t>
      </w:r>
    </w:p>
    <w:p>
      <w:pPr>
        <w:pPr/>
        <w:numPr>
          <w:ilvl w:val="0"/>
          <w:numId w:val="32"/>
        </w:numPr>
      </w:pPr>
      <w:r>
        <w:rPr/>
        <w:t xml:space="preserve">Classement inférieur à A*3 à 450 Pa : la justification n’est pas recevable.</w:t>
      </w:r>
    </w:p>
    <w:p>
      <w:pPr>
        <w:ind w:left="720" w:right="0"/>
      </w:pPr>
      <w:r>
        <w:rPr>
          <w:rStyle w:val="font_h2"/>
        </w:rPr>
        <w:t xml:space="preserve">8.68.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33"/>
        </w:numPr>
      </w:pPr>
      <w:r>
        <w:rPr/>
        <w:t xml:space="preserve">les vitrages isolants doubles et/ou triples ; </w:t>
      </w:r>
    </w:p>
    <w:p>
      <w:pPr>
        <w:pPr/>
        <w:numPr>
          <w:ilvl w:val="0"/>
          <w:numId w:val="33"/>
        </w:numPr>
      </w:pPr>
      <w:r>
        <w:rPr/>
        <w:t xml:space="preserve">les vitrages isolants simples justifiant de performances thermiques (exemple : vitrages sous vide) ; </w:t>
      </w:r>
    </w:p>
    <w:p>
      <w:pPr>
        <w:pPr/>
        <w:numPr>
          <w:ilvl w:val="0"/>
          <w:numId w:val="33"/>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34"/>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34"/>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8.69.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8.70. 2025 (12) Reformulation du paragraphe « Cas des dispositions PMR »</w:t>
      </w:r>
    </w:p>
    <w:p>
      <w:pPr>
        <w:ind w:left="720" w:right="0"/>
      </w:pPr>
      <w:r>
        <w:rPr>
          <w:rStyle w:val="font_h2"/>
        </w:rPr>
        <w:t xml:space="preserve">8.71. 2025 (12) Eléments de preuves recevables concernant les DTA dont le domaine d'emploi couvre l'outremer (soumis à la réglementation paracyclonique)</w:t>
      </w:r>
    </w:p>
    <w:p>
      <w:pPr>
        <w:ind w:left="720" w:right="0"/>
      </w:pPr>
      <w:r>
        <w:rPr>
          <w:rStyle w:val="font_h2"/>
        </w:rPr>
        <w:t xml:space="preserve">8.72. 2026 (02) Accessibilité aux handicapés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B775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26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72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9C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FD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1B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EBE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779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66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827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84BE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0BB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3E8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C45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11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5E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26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EB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82E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CF2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65A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64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A833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1B6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420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AF720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2026-05-25T06:54:44+02:00</dcterms:created>
  <dcterms:modified xsi:type="dcterms:W3CDTF">2026-05-25T06:54:44+02:00</dcterms:modified>
</cp:coreProperties>
</file>

<file path=docProps/custom.xml><?xml version="1.0" encoding="utf-8"?>
<Properties xmlns="http://schemas.openxmlformats.org/officeDocument/2006/custom-properties" xmlns:vt="http://schemas.openxmlformats.org/officeDocument/2006/docPropsVTypes"/>
</file>