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Renforts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dimensions.</w:t>
      </w:r>
    </w:p>
    <w:p>
      <w:pPr/>
      <w:r>
        <w:rPr/>
        <w:t xml:space="preserve">Fournir un dossier de plans illustrant tous les constituants des fenêtres objet de la demande.</w:t>
      </w:r>
    </w:p>
    <w:p>
      <w:pPr>
        <w:ind w:left="720" w:right="0"/>
      </w:pPr>
      <w:r>
        <w:rPr>
          <w:rStyle w:val="font_h2"/>
        </w:rPr>
        <w:t xml:space="preserve">2.5.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2.6.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2.7. Vitrage</w:t>
      </w:r>
    </w:p>
    <w:p>
      <w:pPr>
        <w:ind w:left="720" w:right="0"/>
      </w:pPr>
      <w:r>
        <w:rPr>
          <w:rStyle w:val="font_h2"/>
        </w:rPr>
        <w:t xml:space="preserve">2.8. Film coloré</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 +A2// e-cahier CSTB 3625 // NF DTU 36.5 P1-1 et P1-2 // NF DTU 39 // XP P 20.650.</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 d'épaisseur.</w:t>
      </w:r>
    </w:p>
    <w:p>
      <w:pPr/>
      <w:r>
        <w:rPr/>
        <w:t xml:space="preserve">Fournir un dossier de plans illustrant toutes les modalités de fabrication des cadres ouvrants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e-cahier CSTB 3625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+A2// e-cahier CSTB 3625 // NF DTU 36.5 P1-1 et P1-2 // NF DTU 39 // XP P 20.650.</w:t>
      </w:r>
    </w:p>
    <w:p>
      <w:pPr/>
      <w:r>
        <w:rPr>
          <w:b/>
          <w:bCs/>
        </w:rPr>
        <w:t xml:space="preserve">Justification</w:t>
      </w:r>
    </w:p>
    <w:p>
      <w:pPr/>
      <w:r>
        <w:rPr/>
        <w:t xml:space="preserve">Fournir un dossier de plans illustrant tous les constituants, les modalités de fabrication des cadres (ouvrants et dormants), et les modalités de mise en oeuvre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Films</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un dossier de plans illustrant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NF 126)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n°QB36.)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4"/>
        </w:numPr>
      </w:pPr>
      <w:r>
        <w:rPr>
          <w:i/>
          <w:iCs/>
        </w:rPr>
        <w:t xml:space="preserve">fournir copie des essais de perméabilité à l’air sous GRD de T° (si concerné) (Cf NF DTU 36.5 P2 – Annexe A) ;</w:t>
      </w:r>
    </w:p>
    <w:p>
      <w:pPr>
        <w:pPr/>
        <w:numPr>
          <w:ilvl w:val="1"/>
          <w:numId w:val="14"/>
        </w:numPr>
      </w:pPr>
      <w:r>
        <w:rPr>
          <w:i/>
          <w:iCs/>
        </w:rPr>
        <w:t xml:space="preserve">fournir les calculs thermiques (Cf Règles Th U RT2012) ;</w:t>
      </w:r>
    </w:p>
    <w:p>
      <w:pPr>
        <w:pPr/>
        <w:numPr>
          <w:ilvl w:val="1"/>
          <w:numId w:val="14"/>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w:t>
      </w:r>
    </w:p>
    <w:p>
      <w:pPr/>
      <w:r>
        <w:rPr/>
        <w:t xml:space="preserve">"Le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8.8.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8.11.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8.12.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8"/>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8"/>
        </w:numPr>
      </w:pPr>
      <w:r>
        <w:rPr/>
        <w:t xml:space="preserve">Suppression des tableaux thermiques renvoyés vers le rapport de calculs thermiques attestés conformes au DTA, cité au paragraphe B Résultats expérimentaux.</w:t>
      </w:r>
    </w:p>
    <w:p>
      <w:pPr>
        <w:pPr/>
        <w:numPr>
          <w:ilvl w:val="0"/>
          <w:numId w:val="18"/>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8"/>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9"/>
        </w:numPr>
      </w:pPr>
      <w:r>
        <w:rPr/>
        <w:t xml:space="preserve">Profilés PVC : suppression du lieu d’extrusion dans le cas des profilés NF126 ;</w:t>
      </w:r>
    </w:p>
    <w:p>
      <w:pPr>
        <w:pPr/>
        <w:numPr>
          <w:ilvl w:val="0"/>
          <w:numId w:val="19"/>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0"/>
        </w:numPr>
      </w:pPr>
      <w:r>
        <w:rPr/>
        <w:t xml:space="preserve">la pièce 3D soit géométriquement identique à la pièce finale,</w:t>
      </w:r>
    </w:p>
    <w:p>
      <w:pPr>
        <w:pPr/>
        <w:numPr>
          <w:ilvl w:val="0"/>
          <w:numId w:val="20"/>
        </w:numPr>
      </w:pPr>
      <w:r>
        <w:rPr/>
        <w:t xml:space="preserve">une date de mise à disposition de la pièce finale soit arrêtée,</w:t>
      </w:r>
    </w:p>
    <w:p>
      <w:pPr>
        <w:pPr/>
        <w:numPr>
          <w:ilvl w:val="0"/>
          <w:numId w:val="20"/>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1"/>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1"/>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2"/>
        </w:numPr>
      </w:pPr>
      <w:r>
        <w:rPr/>
        <w:t xml:space="preserve">Vis inox A2 pour la fixation d’éléments démontables.</w:t>
      </w:r>
    </w:p>
    <w:p>
      <w:pPr>
        <w:pPr/>
        <w:numPr>
          <w:ilvl w:val="0"/>
          <w:numId w:val="22"/>
        </w:numPr>
      </w:pPr>
      <w:r>
        <w:rPr/>
        <w:t xml:space="preserve">Vis zinguées de classe 4 selon la norme EN 1670 pour les éléments non démontables.</w:t>
      </w:r>
    </w:p>
    <w:p>
      <w:pPr>
        <w:ind w:left="720" w:right="0"/>
      </w:pPr>
      <w:r>
        <w:rPr>
          <w:rStyle w:val="font_h2"/>
        </w:rPr>
        <w:t xml:space="preserve">8.33.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8.34.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8.35.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3"/>
        </w:numPr>
      </w:pPr>
      <w:r>
        <w:rPr/>
        <w:t xml:space="preserve">label Qualimarine avec alliage qualité bâtiment selon définition du DTU 33.1 ;</w:t>
      </w:r>
    </w:p>
    <w:p>
      <w:pPr/>
      <w:r>
        <w:rPr/>
        <w:t xml:space="preserve">ou bien</w:t>
      </w:r>
    </w:p>
    <w:p>
      <w:pPr>
        <w:pPr/>
        <w:numPr>
          <w:ilvl w:val="0"/>
          <w:numId w:val="24"/>
        </w:numPr>
      </w:pPr>
      <w:r>
        <w:rPr/>
        <w:t xml:space="preserve">label Qualicoat Seaside AA1 ou AA2 minimum avec alliage qualité bâtiment selon définition du DTU 33.1.</w:t>
      </w:r>
    </w:p>
    <w:p>
      <w:pPr>
        <w:ind w:left="720" w:right="0"/>
      </w:pPr>
      <w:r>
        <w:rPr>
          <w:rStyle w:val="font_h2"/>
        </w:rPr>
        <w:t xml:space="preserve">8.36.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5"/>
        </w:numPr>
      </w:pPr>
      <w:r>
        <w:rPr/>
        <w:t xml:space="preserve">Rc = recouvrement nominal du joint central ;</w:t>
      </w:r>
    </w:p>
    <w:p>
      <w:pPr>
        <w:pPr/>
        <w:numPr>
          <w:ilvl w:val="0"/>
          <w:numId w:val="25"/>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6"/>
        </w:numPr>
      </w:pPr>
      <w:r>
        <w:rPr/>
        <w:t xml:space="preserve">Réglage possible du recouvrement ouvrant/dormant en hauteur et largeur ± 1 mm et Ri ≥ 5 mmOU</w:t>
      </w:r>
    </w:p>
    <w:p>
      <w:pPr>
        <w:pPr/>
        <w:numPr>
          <w:ilvl w:val="0"/>
          <w:numId w:val="26"/>
        </w:numPr>
      </w:pPr>
      <w:r>
        <w:rPr/>
        <w:t xml:space="preserve">Réglage possible du recouvrement ouvrant/dormant en largeur ± 1 mm et Ri ≥ 8 mm</w:t>
      </w:r>
    </w:p>
    <w:p>
      <w:pPr/>
      <w:r>
        <w:rPr/>
        <w:t xml:space="preserve">Cas 3 : 3 ≤ Rc &lt; 4 mm</w:t>
      </w:r>
    </w:p>
    <w:p>
      <w:pPr>
        <w:pPr/>
        <w:numPr>
          <w:ilvl w:val="0"/>
          <w:numId w:val="27"/>
        </w:numPr>
      </w:pPr>
      <w:r>
        <w:rPr/>
        <w:t xml:space="preserve">Réglage possible du recouvrement ouvrant/dormant en hauteur et largeur ± 2 mm et Ri ≥ 5 mmOU</w:t>
      </w:r>
    </w:p>
    <w:p>
      <w:pPr>
        <w:pPr/>
        <w:numPr>
          <w:ilvl w:val="0"/>
          <w:numId w:val="27"/>
        </w:numPr>
      </w:pPr>
      <w:r>
        <w:rPr/>
        <w:t xml:space="preserve">Réglage possible du recouvrement ouvrant/dormant en largeur ± 1 mm et Ri ≥ 8 mm</w:t>
      </w:r>
    </w:p>
    <w:p>
      <w:pPr/>
      <w:r>
        <w:rPr/>
        <w:t xml:space="preserve">Ces dispositions permettent d'assurer :</w:t>
      </w:r>
    </w:p>
    <w:p>
      <w:pPr>
        <w:pPr/>
        <w:numPr>
          <w:ilvl w:val="0"/>
          <w:numId w:val="28"/>
        </w:numPr>
      </w:pPr>
      <w:r>
        <w:rPr/>
        <w:t xml:space="preserve">Un recouvrement effectif de la garniture de joint central ≥ 3 mm en partie basse et au niveau du battement central.</w:t>
      </w:r>
    </w:p>
    <w:p>
      <w:pPr>
        <w:pPr/>
        <w:numPr>
          <w:ilvl w:val="0"/>
          <w:numId w:val="28"/>
        </w:numPr>
      </w:pPr>
      <w:r>
        <w:rPr/>
        <w:t xml:space="preserve">Un recouvrement effectif de la garniture de joint central ≥ 1 mm sur les autres côtés.</w:t>
      </w:r>
    </w:p>
    <w:p>
      <w:pPr>
        <w:pPr/>
        <w:numPr>
          <w:ilvl w:val="0"/>
          <w:numId w:val="28"/>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8.39.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8.40.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3"/>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3"/>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ind w:left="720" w:right="0"/>
      </w:pPr>
      <w:r>
        <w:rPr>
          <w:rStyle w:val="font_h2"/>
        </w:rPr>
        <w:t xml:space="preserve">8.66. 2025 (02) Justification de la compatibilité et de l’adhésivité-cohésion des mastics</w:t>
      </w:r>
    </w:p>
    <w:p>
      <w:pPr>
        <w:ind w:left="720" w:right="0"/>
      </w:pPr>
      <w:r>
        <w:rPr>
          <w:rStyle w:val="font_h2"/>
        </w:rPr>
        <w:t xml:space="preserve">8.67. 2025 (03) Protection de la traverse haute dans le cas des bardages ventilés</w:t>
      </w:r>
    </w:p>
    <w:p>
      <w:pPr>
        <w:ind w:left="720" w:right="0"/>
      </w:pPr>
      <w:r>
        <w:rPr>
          <w:rStyle w:val="font_h2"/>
        </w:rPr>
        <w:t xml:space="preserve">8.68. 2025 (06) Essais d’endurance ouverture-fermeture sur porte-fenêtre OB2</w:t>
      </w:r>
    </w:p>
    <w:p>
      <w:pPr>
        <w:ind w:left="720" w:right="0"/>
      </w:pPr>
      <w:r>
        <w:rPr>
          <w:rStyle w:val="font_h2"/>
        </w:rPr>
        <w:t xml:space="preserve">8.69. 2025 (06) Réalisation de l’essai à l’eau E* avec reconstitution de dalle sur plot</w:t>
      </w:r>
    </w:p>
    <w:p>
      <w:pPr>
        <w:ind w:left="720" w:right="0"/>
      </w:pPr>
      <w:r>
        <w:rPr>
          <w:rStyle w:val="font_h2"/>
        </w:rPr>
        <w:t xml:space="preserve">8.70. 2025 (06) Ajout paragraphe concernant l’évaluation du risque de chute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367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8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2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37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7F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B3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00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39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1E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AF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05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05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6F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76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7A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1B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2A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06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E6F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2B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D6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89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2AF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C10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6A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2025-10-13T21:34:00+02:00</dcterms:created>
  <dcterms:modified xsi:type="dcterms:W3CDTF">2025-10-13T21:34:00+02:00</dcterms:modified>
</cp:coreProperties>
</file>

<file path=docProps/custom.xml><?xml version="1.0" encoding="utf-8"?>
<Properties xmlns="http://schemas.openxmlformats.org/officeDocument/2006/custom-properties" xmlns:vt="http://schemas.openxmlformats.org/officeDocument/2006/docPropsVTypes"/>
</file>