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à la française, oscillo battante ou à soufflet en PVC</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PVC</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PVC :</w:t>
      </w:r>
    </w:p>
    <w:p>
      <w:pPr>
        <w:pPr/>
        <w:numPr>
          <w:ilvl w:val="1"/>
          <w:numId w:val="11"/>
        </w:numPr>
      </w:pPr>
      <w:r>
        <w:rPr/>
        <w:t xml:space="preserve">Profilés principaux ;</w:t>
      </w:r>
    </w:p>
    <w:p>
      <w:pPr>
        <w:pPr/>
        <w:numPr>
          <w:ilvl w:val="1"/>
          <w:numId w:val="11"/>
        </w:numPr>
      </w:pPr>
      <w:r>
        <w:rPr/>
        <w:t xml:space="preserve">Profilés complémentaires ;</w:t>
      </w:r>
    </w:p>
    <w:p>
      <w:pPr>
        <w:pPr/>
        <w:numPr>
          <w:ilvl w:val="1"/>
          <w:numId w:val="11"/>
        </w:numPr>
      </w:pPr>
      <w:r>
        <w:rPr/>
        <w:t xml:space="preserve">Films colorés.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métalliques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Renforts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dimensions.</w:t>
      </w:r>
    </w:p>
    <w:p>
      <w:pPr/>
      <w:r>
        <w:rPr/>
        <w:t xml:space="preserve">Fournir un dossier de plans illustrant tous les constituants des fenêtres objet de la demande.</w:t>
      </w:r>
    </w:p>
    <w:p>
      <w:pPr>
        <w:ind w:left="720" w:right="0"/>
      </w:pPr>
      <w:r>
        <w:rPr>
          <w:rStyle w:val="font_h2"/>
        </w:rPr>
        <w:t xml:space="preserve">2.5.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2.6.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2.7. Vitrage</w:t>
      </w:r>
    </w:p>
    <w:p>
      <w:pPr>
        <w:ind w:left="720" w:right="0"/>
      </w:pPr>
      <w:r>
        <w:rPr>
          <w:rStyle w:val="font_h2"/>
        </w:rPr>
        <w:t xml:space="preserve">2.8. Film coloré</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 :</w:t>
      </w:r>
    </w:p>
    <w:p>
      <w:pPr>
        <w:pPr/>
        <w:numPr>
          <w:ilvl w:val="0"/>
          <w:numId w:val="12"/>
        </w:numPr>
      </w:pPr>
      <w:r>
        <w:rPr/>
        <w:t xml:space="preserve">Cadre dormant :</w:t>
      </w:r>
    </w:p>
    <w:p>
      <w:pPr>
        <w:pPr/>
        <w:numPr>
          <w:ilvl w:val="1"/>
          <w:numId w:val="12"/>
        </w:numPr>
      </w:pPr>
      <w:r>
        <w:rPr/>
        <w:t xml:space="preserve">Meneaux ;</w:t>
      </w:r>
    </w:p>
    <w:p>
      <w:pPr>
        <w:pPr/>
        <w:numPr>
          <w:ilvl w:val="1"/>
          <w:numId w:val="12"/>
        </w:numPr>
      </w:pPr>
      <w:r>
        <w:rPr/>
        <w:t xml:space="preserve">Drainage ;</w:t>
      </w:r>
    </w:p>
    <w:p>
      <w:pPr>
        <w:pPr/>
        <w:numPr>
          <w:ilvl w:val="1"/>
          <w:numId w:val="12"/>
        </w:numPr>
      </w:pPr>
      <w:r>
        <w:rPr/>
        <w:t xml:space="preserve">Équilibrage de pression ;</w:t>
      </w:r>
    </w:p>
    <w:p>
      <w:pPr>
        <w:pPr/>
        <w:numPr>
          <w:ilvl w:val="1"/>
          <w:numId w:val="12"/>
        </w:numPr>
      </w:pPr>
      <w:r>
        <w:rPr/>
        <w:t xml:space="preserve">Fourrure d'épaisseur.</w:t>
      </w:r>
    </w:p>
    <w:p>
      <w:pPr/>
      <w:r>
        <w:rPr/>
        <w:t xml:space="preserve">Fournir un dossier de plans illustrant toutes les modalités de fabrication des cadres ouvrants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ouvrant :</w:t>
      </w:r>
    </w:p>
    <w:p>
      <w:pPr>
        <w:pPr/>
        <w:numPr>
          <w:ilvl w:val="1"/>
          <w:numId w:val="13"/>
        </w:numPr>
      </w:pPr>
      <w:r>
        <w:rPr/>
        <w:t xml:space="preserve">Battements ;</w:t>
      </w:r>
    </w:p>
    <w:p>
      <w:pPr>
        <w:pPr/>
        <w:numPr>
          <w:ilvl w:val="1"/>
          <w:numId w:val="13"/>
        </w:numPr>
      </w:pPr>
      <w:r>
        <w:rPr/>
        <w:t xml:space="preserve">Traverses ;</w:t>
      </w:r>
    </w:p>
    <w:p>
      <w:pPr>
        <w:pPr/>
        <w:numPr>
          <w:ilvl w:val="1"/>
          <w:numId w:val="13"/>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Assemblage mécanique</w:t>
      </w:r>
    </w:p>
    <w:p>
      <w:pPr/>
      <w:r>
        <w:rPr/>
        <w:t xml:space="preserve">Validé par le Groupe Spécialisé le 13/03/2025</w:t>
      </w:r>
    </w:p>
    <w:p>
      <w:pPr/>
      <w:r>
        <w:rPr>
          <w:b/>
          <w:bCs/>
        </w:rPr>
        <w:t xml:space="preserve">Description</w:t>
      </w:r>
    </w:p>
    <w:p>
      <w:pPr/>
      <w:r>
        <w:rPr/>
        <w:t xml:space="preserve">Définir la fabrication des cadres (ouvrants, dormants),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Fournir un dossier de plans illustrant tous les constituants, les modalités de fabrication des cadres (ouvrants et dormants), et les modalités de mise en oeuvre des fenêtres objet de la demande.</w:t>
      </w:r>
    </w:p>
    <w:p>
      <w:pPr>
        <w:ind w:left="720" w:right="0"/>
      </w:pPr>
      <w:r>
        <w:rPr>
          <w:rStyle w:val="font_h2"/>
        </w:rPr>
        <w:t xml:space="preserve">3.4. Renforts</w:t>
      </w:r>
    </w:p>
    <w:p>
      <w:pPr>
        <w:ind w:left="720" w:right="0"/>
      </w:pPr>
      <w:r>
        <w:rPr>
          <w:rStyle w:val="font_h2"/>
        </w:rPr>
        <w:t xml:space="preserve">3.5. Ferrage - Verrouillage</w:t>
      </w:r>
    </w:p>
    <w:p>
      <w:pPr>
        <w:ind w:left="720" w:right="0"/>
      </w:pPr>
      <w:r>
        <w:rPr>
          <w:rStyle w:val="font_h2"/>
        </w:rPr>
        <w:t xml:space="preserve">3.6. Vitrage</w:t>
      </w:r>
    </w:p>
    <w:p>
      <w:pPr>
        <w:ind w:left="720" w:right="0"/>
      </w:pPr>
      <w:r>
        <w:rPr>
          <w:rStyle w:val="font_h2"/>
        </w:rPr>
        <w:t xml:space="preserve">3.7.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Extrusion des profilés PVC</w:t>
      </w:r>
    </w:p>
    <w:p>
      <w:pPr>
        <w:ind w:left="720" w:right="0"/>
      </w:pPr>
      <w:r>
        <w:rPr>
          <w:rStyle w:val="font_h2"/>
        </w:rPr>
        <w:t xml:space="preserve">4.2. Assemblage des fenêtres</w:t>
      </w:r>
    </w:p>
    <w:p>
      <w:pPr>
        <w:ind w:left="720" w:right="0"/>
      </w:pPr>
      <w:r>
        <w:rPr>
          <w:rStyle w:val="font_h2"/>
        </w:rPr>
        <w:t xml:space="preserve">4.3. Films</w:t>
      </w:r>
    </w:p>
    <w:p>
      <w:pPr>
        <w:ind w:left="720" w:right="0"/>
      </w:pPr>
      <w:r>
        <w:rPr>
          <w:rStyle w:val="font_h2"/>
        </w:rPr>
        <w:t xml:space="preserve">4.4. Plaxage des profilés</w:t>
      </w:r>
    </w:p>
    <w:p>
      <w:pPr/>
      <w:r>
        <w:rPr>
          <w:rStyle w:val="font_h1"/>
        </w:rPr>
        <w:t xml:space="preserve">5. Mise en oeuvre</w:t>
      </w:r>
    </w:p>
    <w:p>
      <w:pPr>
        <w:ind w:left="720" w:right="0"/>
      </w:pPr>
      <w:r>
        <w:rPr>
          <w:rStyle w:val="font_h2"/>
        </w:rPr>
        <w:t xml:space="preserve">5.1. Mise en oeuvre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un dossier de plans illustrant les modalités de mise en oeuvre des fenêtres objet de la demande.</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del’aptitude à l’emploi du système évalué.</w:t>
      </w:r>
    </w:p>
    <w:p>
      <w:pPr>
        <w:pPr/>
        <w:numPr>
          <w:ilvl w:val="0"/>
          <w:numId w:val="14"/>
        </w:numPr>
      </w:pPr>
      <w:r>
        <w:rPr/>
        <w:t xml:space="preserve">Sur les constituants :</w:t>
      </w:r>
    </w:p>
    <w:p>
      <w:pPr>
        <w:pPr/>
        <w:numPr>
          <w:ilvl w:val="1"/>
          <w:numId w:val="14"/>
        </w:numPr>
      </w:pPr>
      <w:r>
        <w:rPr>
          <w:i/>
          <w:iCs/>
        </w:rPr>
        <w:t xml:space="preserve">profilés PVC (Cf NF EN 12608 + référentiel QB 59) ;</w:t>
      </w:r>
    </w:p>
    <w:p>
      <w:pPr>
        <w:pPr/>
        <w:numPr>
          <w:ilvl w:val="1"/>
          <w:numId w:val="14"/>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4"/>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4"/>
        </w:numPr>
      </w:pPr>
      <w:r>
        <w:rPr>
          <w:i/>
          <w:iCs/>
        </w:rPr>
        <w:t xml:space="preserve">vitrages (Ils doivent bénéficier d’un certificat de qualification.).</w:t>
      </w:r>
    </w:p>
    <w:p>
      <w:pPr>
        <w:pPr/>
        <w:numPr>
          <w:ilvl w:val="0"/>
          <w:numId w:val="14"/>
        </w:numPr>
      </w:pPr>
      <w:r>
        <w:rPr/>
        <w:t xml:space="preserve">Sur les fenêtres :</w:t>
      </w:r>
    </w:p>
    <w:p>
      <w:pPr>
        <w:pPr/>
        <w:numPr>
          <w:ilvl w:val="1"/>
          <w:numId w:val="14"/>
        </w:numPr>
      </w:pPr>
      <w:r>
        <w:rPr>
          <w:i/>
          <w:iCs/>
        </w:rPr>
        <w:t xml:space="preserve">fournir copie des essais AEV, mécaniques spécifiques et endurance à l’ouverture/fermeture réalisés (Cf e-cahier 3706_V2, NF EN 14351-1+A2, NF P 20-501, NF P20-302. NB : performances minimum demandées A2 E5A (ou E5B)VA2.) ;</w:t>
      </w:r>
    </w:p>
    <w:p>
      <w:pPr>
        <w:pPr/>
        <w:numPr>
          <w:ilvl w:val="1"/>
          <w:numId w:val="14"/>
        </w:numPr>
      </w:pPr>
      <w:r>
        <w:rPr>
          <w:i/>
          <w:iCs/>
        </w:rPr>
        <w:t xml:space="preserve">fournir copie des essais de perméabilité à l’air sous gradient de température (si concerné) (Cf NF DTU 36.5 P2 – Annexe A) ;</w:t>
      </w:r>
    </w:p>
    <w:p>
      <w:pPr>
        <w:pPr/>
        <w:numPr>
          <w:ilvl w:val="1"/>
          <w:numId w:val="14"/>
        </w:numPr>
      </w:pPr>
      <w:r>
        <w:rPr>
          <w:i/>
          <w:iCs/>
        </w:rPr>
        <w:t xml:space="preserve">fournir les calculs thermiques (Cf Règles Th-Bât Fascicule Parois vitrées RE2020) ;</w:t>
      </w:r>
    </w:p>
    <w:p>
      <w:pPr>
        <w:pPr/>
        <w:numPr>
          <w:ilvl w:val="1"/>
          <w:numId w:val="14"/>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etaccessoires en contact </w:t>
      </w:r>
      <w:r>
        <w:rPr>
          <w:i/>
          <w:iCs/>
        </w:rPr>
        <w:t xml:space="preserve">(CF NF P 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5"/>
        </w:numPr>
      </w:pPr>
      <w:r>
        <w:rPr/>
        <w:t xml:space="preserve">localiser et préciser les situations de pose ;</w:t>
      </w:r>
    </w:p>
    <w:p>
      <w:pPr>
        <w:pPr/>
        <w:numPr>
          <w:ilvl w:val="0"/>
          <w:numId w:val="15"/>
        </w:numPr>
      </w:pPr>
      <w:r>
        <w:rPr/>
        <w:t xml:space="preserve">identifier les types de menuiseries ;</w:t>
      </w:r>
    </w:p>
    <w:p>
      <w:pPr>
        <w:pPr/>
        <w:numPr>
          <w:ilvl w:val="0"/>
          <w:numId w:val="15"/>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8.2.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6"/>
        </w:numPr>
      </w:pPr>
      <w:r>
        <w:rPr/>
        <w:t xml:space="preserve">difficulté de connaitre vraiment l’état des pattes de fixation,</w:t>
      </w:r>
    </w:p>
    <w:p>
      <w:pPr>
        <w:pPr/>
        <w:numPr>
          <w:ilvl w:val="0"/>
          <w:numId w:val="16"/>
        </w:numPr>
      </w:pPr>
      <w:r>
        <w:rPr/>
        <w:t xml:space="preserve">solution thermiquement très difficile à réaliser correctement vis-à-vis de la liaison entre le nouveau et l’ancien dormant,</w:t>
      </w:r>
    </w:p>
    <w:p>
      <w:pPr>
        <w:pPr/>
        <w:numPr>
          <w:ilvl w:val="0"/>
          <w:numId w:val="16"/>
        </w:numPr>
      </w:pPr>
      <w:r>
        <w:rPr/>
        <w:t xml:space="preserve">connaissance très difficile des matières PVC des anciens dormants et de leur état de conservation,</w:t>
      </w:r>
    </w:p>
    <w:p>
      <w:pPr>
        <w:pPr/>
        <w:numPr>
          <w:ilvl w:val="0"/>
          <w:numId w:val="16"/>
        </w:numPr>
      </w:pPr>
      <w:r>
        <w:rPr/>
        <w:t xml:space="preserve">compatibilité de ces matières avec les mastics de calfeutrement à utiliser,</w:t>
      </w:r>
    </w:p>
    <w:p>
      <w:pPr>
        <w:pPr/>
        <w:numPr>
          <w:ilvl w:val="0"/>
          <w:numId w:val="16"/>
        </w:numPr>
      </w:pPr>
      <w:r>
        <w:rPr/>
        <w:t xml:space="preserve">difficulté pour conserver le clair de vitrage.</w:t>
      </w:r>
    </w:p>
    <w:p>
      <w:pPr>
        <w:ind w:left="720" w:right="0"/>
      </w:pPr>
      <w:r>
        <w:rPr>
          <w:rStyle w:val="font_h2"/>
        </w:rPr>
        <w:t xml:space="preserve">8.3. 2017 (10) Recouvrement minimum en cas de pose ITE</w:t>
      </w:r>
    </w:p>
    <w:p>
      <w:pPr/>
      <w:r>
        <w:rPr/>
        <w:t xml:space="preserve">Validé par le Groupe Spécialisé le 02/01/2018</w:t>
      </w:r>
    </w:p>
    <w:p>
      <w:pPr/>
      <w:r>
        <w:rPr>
          <w:b/>
          <w:bCs/>
        </w:rPr>
        <w:t xml:space="preserve">Description</w:t>
      </w:r>
    </w:p>
    <w:p>
      <w:pPr/>
      <w:r>
        <w:rPr/>
        <w:t xml:space="preserve">Dans le cas d'une pose de fenêtres en applique extérieure avec une ITE, la largeur disponible sur le dormant en vis-à-vis du gros œuvre doit être au minimum de 28 mm. Il conviendra de vérifier que les dormants et autres fourrures d’épaisseurs permettent de satisfaire cette exigence.</w:t>
      </w:r>
    </w:p>
    <w:p>
      <w:pPr>
        <w:ind w:left="720" w:right="0"/>
      </w:pPr>
      <w:r>
        <w:rPr>
          <w:rStyle w:val="font_h2"/>
        </w:rPr>
        <w:t xml:space="preserve">8.4. 2017 (12) Opportunité de suivi de la qualité en usine des seuils PMR</w:t>
      </w:r>
    </w:p>
    <w:p>
      <w:pPr/>
      <w:r>
        <w:rPr/>
        <w:t xml:space="preserve">Validé par le Groupe Spécialisé le 02/01/2018</w:t>
      </w:r>
    </w:p>
    <w:p>
      <w:pPr/>
      <w:r>
        <w:rPr>
          <w:b/>
          <w:bCs/>
        </w:rPr>
        <w:t xml:space="preserve">Description</w:t>
      </w:r>
    </w:p>
    <w:p>
      <w:pPr/>
      <w:r>
        <w:rPr/>
        <w:t xml:space="preserve">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8.5. 2017 (12) Risques sismiques</w:t>
      </w:r>
    </w:p>
    <w:p>
      <w:pPr/>
      <w:r>
        <w:rPr/>
        <w:t xml:space="preserve">Validé par le Groupe Spécialisé le 02/01/2018</w:t>
      </w:r>
    </w:p>
    <w:p>
      <w:pPr/>
      <w:r>
        <w:rPr>
          <w:b/>
          <w:bCs/>
        </w:rPr>
        <w:t xml:space="preserve">Description</w:t>
      </w:r>
    </w:p>
    <w:p>
      <w:pPr/>
      <w:r>
        <w:rPr/>
        <w:t xml:space="preserve">La phrase suivante sera ajoutée aux DTA :</w:t>
      </w:r>
    </w:p>
    <w:p>
      <w:pPr/>
      <w:r>
        <w:rPr/>
        <w:t xml:space="preserve">"Le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2018 (03) RUP et TOM</w:t>
      </w:r>
    </w:p>
    <w:p>
      <w:pPr/>
      <w:r>
        <w:rPr/>
        <w:t xml:space="preserve">Validé par le Groupe Spécialisé le 15/03/2018</w:t>
      </w:r>
    </w:p>
    <w:p>
      <w:pPr/>
      <w:r>
        <w:rPr>
          <w:b/>
          <w:bCs/>
        </w:rPr>
        <w:t xml:space="preserve">Description</w:t>
      </w:r>
    </w:p>
    <w:p>
      <w:pPr/>
      <w:r>
        <w:rPr/>
        <w:t xml:space="preserve">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8.8. 2018 (03) Risques de propagation du feu par la façade dans le cas des fenêtres  mise en œuvre en applique extérieure</w:t>
      </w:r>
    </w:p>
    <w:p>
      <w:pPr/>
      <w:r>
        <w:rPr/>
        <w:t xml:space="preserve">Validé par le Groupe Spécialisé le 15/03/2018</w:t>
      </w:r>
    </w:p>
    <w:p>
      <w:pPr/>
      <w:r>
        <w:rPr>
          <w:b/>
          <w:bCs/>
        </w:rPr>
        <w:t xml:space="preserve">Description</w:t>
      </w:r>
    </w:p>
    <w:p>
      <w:pPr/>
      <w:r>
        <w:rPr/>
        <w:t xml:space="preserve">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8.9.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7"/>
        </w:numPr>
      </w:pPr>
      <w:r>
        <w:rPr/>
        <w:t xml:space="preserve">Un profilé complémentaire est nécessaire afin de réaliser une zone de calfeutrement d'au moins 10 mm</w:t>
      </w:r>
    </w:p>
    <w:p>
      <w:pPr>
        <w:ind w:left="720" w:right="0"/>
      </w:pPr>
      <w:r>
        <w:rPr>
          <w:rStyle w:val="font_h2"/>
        </w:rPr>
        <w:t xml:space="preserve">8.10. 2018 (10) Garnitures d’étanchéité</w:t>
      </w:r>
    </w:p>
    <w:p>
      <w:pPr/>
      <w:r>
        <w:rPr/>
        <w:t xml:space="preserve">Validé par le Groupe Spécialisé le 13/12/2018</w:t>
      </w:r>
    </w:p>
    <w:p>
      <w:pPr/>
      <w:r>
        <w:rPr>
          <w:b/>
          <w:bCs/>
        </w:rPr>
        <w:t xml:space="preserve">Description</w:t>
      </w:r>
    </w:p>
    <w:p>
      <w:pPr/>
      <w:r>
        <w:rPr/>
        <w:t xml:space="preserve">Pour toutes les gammes, existantes ou nouvelles, les tolérances n’apparaîtront pas dans le DTA publié. Dans le cas où le recouvrement de l’ouvrant ou du dormant par la garniture du plan d'étanchéité principal est inférieur à 5 mm, il conviendra de fournir des justifications complémentaires (ex. : essai d’étanchéité à l’eau sans tout ou partie de la garniture du plan principal d’étanchéité).</w:t>
      </w:r>
    </w:p>
    <w:p>
      <w:pPr>
        <w:ind w:left="720" w:right="0"/>
      </w:pPr>
      <w:r>
        <w:rPr>
          <w:rStyle w:val="font_h2"/>
        </w:rPr>
        <w:t xml:space="preserve">8.11. 2018 (10) Système respirant</w:t>
      </w:r>
    </w:p>
    <w:p>
      <w:pPr/>
      <w:r>
        <w:rPr/>
        <w:t xml:space="preserve">Validé par le Groupe Spécialisé le 13/12/2018</w:t>
      </w:r>
    </w:p>
    <w:p>
      <w:pPr/>
      <w:r>
        <w:rPr>
          <w:b/>
          <w:bCs/>
        </w:rPr>
        <w:t xml:space="preserve">Description</w:t>
      </w:r>
    </w:p>
    <w:p>
      <w:pPr/>
      <w:r>
        <w:rPr/>
        <w:t xml:space="preserve">Dans le cas des systèmes respirants, les prescriptions techniques devront présenter un paragraphe limitant l’utilisation du système à une masse de vantail maximum.</w:t>
      </w:r>
    </w:p>
    <w:p>
      <w:pPr>
        <w:ind w:left="720" w:right="0"/>
      </w:pPr>
      <w:r>
        <w:rPr>
          <w:rStyle w:val="font_h2"/>
        </w:rPr>
        <w:t xml:space="preserve">8.12. 2018 (10) Conditions de mise en œuvre</w:t>
      </w:r>
    </w:p>
    <w:p>
      <w:pPr/>
      <w:r>
        <w:rPr/>
        <w:t xml:space="preserve">Validé par le Groupe Spécialisé le 13/12/2018</w:t>
      </w:r>
    </w:p>
    <w:p>
      <w:pPr/>
      <w:r>
        <w:rPr>
          <w:b/>
          <w:bCs/>
        </w:rPr>
        <w:t xml:space="preserve">Description</w:t>
      </w:r>
    </w:p>
    <w:p>
      <w:pPr/>
      <w:r>
        <w:rPr/>
        <w:t xml:space="preserve">Dans le paragraphe « conditions de mise en œuvre », le nouveau texte type devient :« Certaines configurations de fenêtres oscillo-battantes ou à soufflet (dimensions, poids de vitrages, positionnement poignée, …) peuvent conduire à un effort d’amorçage de fermeture de la position soufflet du vantail supérieure à 100N. » (Suppression de « sauf dispositions particulières »).</w:t>
      </w:r>
    </w:p>
    <w:p>
      <w:pPr>
        <w:ind w:left="720" w:right="0"/>
      </w:pPr>
      <w:r>
        <w:rPr>
          <w:rStyle w:val="font_h2"/>
        </w:rPr>
        <w:t xml:space="preserve">8.13.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8.14.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8.15.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8.16. 2019 (10) Largeur de passage des portes-fenêtres 1 vantail équipées d’un dispositif PMR</w:t>
      </w:r>
    </w:p>
    <w:p>
      <w:pPr/>
      <w:r>
        <w:rPr/>
        <w:t xml:space="preserve">Validé par le Groupe Spécialisé le 17/10/2019</w:t>
      </w:r>
    </w:p>
    <w:p>
      <w:pPr/>
      <w:r>
        <w:rPr>
          <w:b/>
          <w:bCs/>
        </w:rPr>
        <w:t xml:space="preserve">Description</w:t>
      </w:r>
    </w:p>
    <w:p>
      <w:pPr/>
      <w:r>
        <w:rPr/>
        <w:t xml:space="preserve">Afin d’être cohérent avec la réglementation concernant l’accès des handicapés aux balcons, terrasses et loggias, la largeur maximale (tableau) passe de 0,80m à 1,00m pour les systèmes de fenêtres PVC à 1 vantail.</w:t>
      </w:r>
    </w:p>
    <w:p>
      <w:pPr>
        <w:ind w:left="720" w:right="0"/>
      </w:pPr>
      <w:r>
        <w:rPr>
          <w:rStyle w:val="font_h2"/>
        </w:rPr>
        <w:t xml:space="preserve">8.17.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8.18.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8.19.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18"/>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18"/>
        </w:numPr>
      </w:pPr>
      <w:r>
        <w:rPr/>
        <w:t xml:space="preserve">Suppression des tableaux thermiques renvoyés vers le rapport de calculs thermiques attestés conformes au DTA, cité au paragraphe B Résultats expérimentaux.</w:t>
      </w:r>
    </w:p>
    <w:p>
      <w:pPr>
        <w:pPr/>
        <w:numPr>
          <w:ilvl w:val="0"/>
          <w:numId w:val="18"/>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18"/>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19"/>
        </w:numPr>
      </w:pPr>
      <w:r>
        <w:rPr/>
        <w:t xml:space="preserve">Profilés PVC : suppression du lieu d’extrusion dans le cas des profilés NF126 ;</w:t>
      </w:r>
    </w:p>
    <w:p>
      <w:pPr>
        <w:pPr/>
        <w:numPr>
          <w:ilvl w:val="0"/>
          <w:numId w:val="19"/>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8.20.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0"/>
        </w:numPr>
      </w:pPr>
      <w:r>
        <w:rPr/>
        <w:t xml:space="preserve">la pièce 3D soit géométriquement identique à la pièce finale,</w:t>
      </w:r>
    </w:p>
    <w:p>
      <w:pPr>
        <w:pPr/>
        <w:numPr>
          <w:ilvl w:val="0"/>
          <w:numId w:val="20"/>
        </w:numPr>
      </w:pPr>
      <w:r>
        <w:rPr/>
        <w:t xml:space="preserve">une date de mise à disposition de la pièce finale soit arrêtée,</w:t>
      </w:r>
    </w:p>
    <w:p>
      <w:pPr>
        <w:pPr/>
        <w:numPr>
          <w:ilvl w:val="0"/>
          <w:numId w:val="20"/>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8.21.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8.22. 2020 (09) Position sur les recouvrements minimums des garnitures centrales d'étanchéité</w:t>
      </w:r>
    </w:p>
    <w:p>
      <w:pPr/>
      <w:r>
        <w:rPr/>
        <w:t xml:space="preserve">Validé par le Groupe Spécialisé le 29/10/2020</w:t>
      </w:r>
    </w:p>
    <w:p>
      <w:pPr/>
      <w:r>
        <w:rPr>
          <w:b/>
          <w:bCs/>
        </w:rPr>
        <w:t xml:space="preserve">Description</w:t>
      </w:r>
    </w:p>
    <w:p>
      <w:pPr/>
      <w:r>
        <w:rPr/>
        <w:t xml:space="preserve">Le demandeur d’un système à garniture de joint central devra dorénavant justifier et garantir la présence d’une garniture de joint central ayant un recouvrement d’au moins 3 mm couplé à une garniture de joint de frappe intérieur avec un recouvrement effectif d’au moins 5 mm sur toute la périphérie.Cette jurisprudence sera appliquée pour les nouveaux dossiers à partir du 1er janvier 2022 et pour les révisions à partir du 1er janvier 2023.</w:t>
      </w:r>
    </w:p>
    <w:p>
      <w:pPr>
        <w:ind w:left="720" w:right="0"/>
      </w:pPr>
      <w:r>
        <w:rPr>
          <w:rStyle w:val="font_h2"/>
        </w:rPr>
        <w:t xml:space="preserve">8.23. 2020 (10) Fenêtres respirantes</w:t>
      </w:r>
    </w:p>
    <w:p>
      <w:pPr/>
      <w:r>
        <w:rPr/>
        <w:t xml:space="preserve">Validé par le Groupe Spécialisé le 10/12/2020</w:t>
      </w:r>
    </w:p>
    <w:p>
      <w:pPr/>
      <w:r>
        <w:rPr>
          <w:b/>
          <w:bCs/>
        </w:rPr>
        <w:t xml:space="preserve">Description</w:t>
      </w:r>
    </w:p>
    <w:p>
      <w:pPr/>
      <w:r>
        <w:rPr/>
        <w:t xml:space="preserve">Dans le paragraphe "références de chantier", le GS 06 demande que soit indiqué uniquement les références de chantier dont les fenêtres ont bénéficié d’un suivi lors de leur fabrication (" suivi fenêtre respirante »). Si cela n'est pas possible, il sera indiqué : "Le demandeur déclare n'avoir réalisé aucun chantier avec ce système depuis au moins 2 ans".</w:t>
      </w:r>
    </w:p>
    <w:p>
      <w:pPr>
        <w:ind w:left="720" w:right="0"/>
      </w:pPr>
      <w:r>
        <w:rPr>
          <w:rStyle w:val="font_h2"/>
        </w:rPr>
        <w:t xml:space="preserve">8.24.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1"/>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1"/>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8.25. 2020 (10) Charge maximum des vantaux</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8.26.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8.27.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8.28.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8.29. 2021 (02) Précision concernant le risque d’usure du joint central</w:t>
      </w:r>
    </w:p>
    <w:p>
      <w:pPr/>
      <w:r>
        <w:rPr/>
        <w:t xml:space="preserve">Validé par le Groupe Spécialisé le 11/03/2021</w:t>
      </w:r>
    </w:p>
    <w:p>
      <w:pPr/>
      <w:r>
        <w:rPr>
          <w:b/>
          <w:bCs/>
        </w:rPr>
        <w:t xml:space="preserve">Description</w:t>
      </w:r>
    </w:p>
    <w:p>
      <w:pPr/>
      <w:r>
        <w:rPr/>
        <w:t xml:space="preserve">Ajout de la précision « cas des portes-fenêtres » à la jurisprudence suivante : Le joint central étant porté par le dormant, il existe un risque d’usure prématurée dans le cas des portes-fenêtres, dû au passage, pouvant entrainer des baisses de performance à l’air et à l’eau.</w:t>
      </w:r>
    </w:p>
    <w:p>
      <w:pPr>
        <w:ind w:left="720" w:right="0"/>
      </w:pPr>
      <w:r>
        <w:rPr>
          <w:rStyle w:val="font_h2"/>
        </w:rPr>
        <w:t xml:space="preserve">8.30.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8.31.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8.32.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2"/>
        </w:numPr>
      </w:pPr>
      <w:r>
        <w:rPr/>
        <w:t xml:space="preserve">Vis inox A2 pour la fixation d’éléments démontables.</w:t>
      </w:r>
    </w:p>
    <w:p>
      <w:pPr>
        <w:pPr/>
        <w:numPr>
          <w:ilvl w:val="0"/>
          <w:numId w:val="22"/>
        </w:numPr>
      </w:pPr>
      <w:r>
        <w:rPr/>
        <w:t xml:space="preserve">Vis zinguées de classe 4 selon la norme EN 1670 pour les éléments non démontables.</w:t>
      </w:r>
    </w:p>
    <w:p>
      <w:pPr>
        <w:ind w:left="720" w:right="0"/>
      </w:pPr>
      <w:r>
        <w:rPr>
          <w:rStyle w:val="font_h2"/>
        </w:rPr>
        <w:t xml:space="preserve">8.33.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8.34.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8.35.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3"/>
        </w:numPr>
      </w:pPr>
      <w:r>
        <w:rPr/>
        <w:t xml:space="preserve">label Qualimarine avec alliage qualité bâtiment selon définition du DTU 33.1 ;</w:t>
      </w:r>
    </w:p>
    <w:p>
      <w:pPr/>
      <w:r>
        <w:rPr/>
        <w:t xml:space="preserve">ou bien</w:t>
      </w:r>
    </w:p>
    <w:p>
      <w:pPr>
        <w:pPr/>
        <w:numPr>
          <w:ilvl w:val="0"/>
          <w:numId w:val="24"/>
        </w:numPr>
      </w:pPr>
      <w:r>
        <w:rPr/>
        <w:t xml:space="preserve">label Qualicoat Seaside AA1 ou AA2 minimum avec alliage qualité bâtiment selon définition du DTU 33.1.</w:t>
      </w:r>
    </w:p>
    <w:p>
      <w:pPr>
        <w:ind w:left="720" w:right="0"/>
      </w:pPr>
      <w:r>
        <w:rPr>
          <w:rStyle w:val="font_h2"/>
        </w:rPr>
        <w:t xml:space="preserve">8.36. 2021 (09) Conclusions du groupe de travail sur la dimension du recouvrement des systèmes à joints centraux</w:t>
      </w:r>
    </w:p>
    <w:p>
      <w:pPr/>
      <w:r>
        <w:rPr/>
        <w:t xml:space="preserve">Validé par le Groupe Spécialisé le 04/11/2021</w:t>
      </w:r>
    </w:p>
    <w:p>
      <w:pPr/>
      <w:r>
        <w:rPr>
          <w:b/>
          <w:bCs/>
        </w:rPr>
        <w:t xml:space="preserve">Description</w:t>
      </w:r>
    </w:p>
    <w:p>
      <w:pPr/>
      <w:r>
        <w:rPr/>
        <w:t xml:space="preserve">Sur les plans, les paramètres suivants sont mesurés en traverse basse :</w:t>
      </w:r>
    </w:p>
    <w:p>
      <w:pPr>
        <w:pPr/>
        <w:numPr>
          <w:ilvl w:val="0"/>
          <w:numId w:val="25"/>
        </w:numPr>
      </w:pPr>
      <w:r>
        <w:rPr/>
        <w:t xml:space="preserve">Rc = recouvrement nominal du joint central ;</w:t>
      </w:r>
    </w:p>
    <w:p>
      <w:pPr>
        <w:pPr/>
        <w:numPr>
          <w:ilvl w:val="0"/>
          <w:numId w:val="25"/>
        </w:numPr>
      </w:pPr>
      <w:r>
        <w:rPr/>
        <w:t xml:space="preserve">Ri = recouvrement nominal du joint de frappe intérieur (entre la partie inférieure de la contre-feuillure de l’ouvrant et la partie supérieure du dormant au niveau de la zone de frappe - voir illustration).</w:t>
      </w:r>
    </w:p>
    <w:p>
      <w:pPr/>
      <w:r>
        <w:rPr/>
        <w:t xml:space="preserve">Pour les systèmes de fenêtres à joints centraux répondant aux critères suivants, il ne sera pas nécessaire d'apporter de justifications supplémentaires par rapport à un système de fenêtre à joint de frappe intérieur :</w:t>
      </w:r>
    </w:p>
    <w:p>
      <w:pPr/>
      <w:r>
        <w:rPr/>
        <w:t xml:space="preserve">Cas 1 : Recouvrement nominal du joint central supérieur ou égale à 5 mm. (Rc ≥ 5 mm)</w:t>
      </w:r>
    </w:p>
    <w:p>
      <w:pPr/>
      <w:r>
        <w:rPr/>
        <w:t xml:space="preserve">Cas 2 : 4 ≤ Rc &lt; 5 mm</w:t>
      </w:r>
    </w:p>
    <w:p>
      <w:pPr>
        <w:pPr/>
        <w:numPr>
          <w:ilvl w:val="0"/>
          <w:numId w:val="26"/>
        </w:numPr>
      </w:pPr>
      <w:r>
        <w:rPr/>
        <w:t xml:space="preserve">Réglage possible du recouvrement ouvrant/dormant en hauteur et largeur ± 1 mm et Ri ≥ 5 mmOU</w:t>
      </w:r>
    </w:p>
    <w:p>
      <w:pPr>
        <w:pPr/>
        <w:numPr>
          <w:ilvl w:val="0"/>
          <w:numId w:val="26"/>
        </w:numPr>
      </w:pPr>
      <w:r>
        <w:rPr/>
        <w:t xml:space="preserve">Réglage possible du recouvrement ouvrant/dormant en largeur ± 1 mm et Ri ≥ 8 mm</w:t>
      </w:r>
    </w:p>
    <w:p>
      <w:pPr/>
      <w:r>
        <w:rPr/>
        <w:t xml:space="preserve">Cas 3 : 3 ≤ Rc &lt; 4 mm</w:t>
      </w:r>
    </w:p>
    <w:p>
      <w:pPr>
        <w:pPr/>
        <w:numPr>
          <w:ilvl w:val="0"/>
          <w:numId w:val="27"/>
        </w:numPr>
      </w:pPr>
      <w:r>
        <w:rPr/>
        <w:t xml:space="preserve">Réglage possible du recouvrement ouvrant/dormant en hauteur et largeur ± 2 mm et Ri ≥ 5 mmOU</w:t>
      </w:r>
    </w:p>
    <w:p>
      <w:pPr>
        <w:pPr/>
        <w:numPr>
          <w:ilvl w:val="0"/>
          <w:numId w:val="27"/>
        </w:numPr>
      </w:pPr>
      <w:r>
        <w:rPr/>
        <w:t xml:space="preserve">Réglage possible du recouvrement ouvrant/dormant en largeur ± 1 mm et Ri ≥ 8 mm</w:t>
      </w:r>
    </w:p>
    <w:p>
      <w:pPr/>
      <w:r>
        <w:rPr/>
        <w:t xml:space="preserve">Ces dispositions permettent d'assurer :</w:t>
      </w:r>
    </w:p>
    <w:p>
      <w:pPr>
        <w:pPr/>
        <w:numPr>
          <w:ilvl w:val="0"/>
          <w:numId w:val="28"/>
        </w:numPr>
      </w:pPr>
      <w:r>
        <w:rPr/>
        <w:t xml:space="preserve">Un recouvrement effectif de la garniture de joint central ≥ 3 mm en partie basse et au niveau du battement central.</w:t>
      </w:r>
    </w:p>
    <w:p>
      <w:pPr>
        <w:pPr/>
        <w:numPr>
          <w:ilvl w:val="0"/>
          <w:numId w:val="28"/>
        </w:numPr>
      </w:pPr>
      <w:r>
        <w:rPr/>
        <w:t xml:space="preserve">Un recouvrement effectif de la garniture de joint central ≥ 1 mm sur les autres côtés.</w:t>
      </w:r>
    </w:p>
    <w:p>
      <w:pPr>
        <w:pPr/>
        <w:numPr>
          <w:ilvl w:val="0"/>
          <w:numId w:val="28"/>
        </w:numPr>
      </w:pPr>
      <w:r>
        <w:rPr/>
        <w:t xml:space="preserve">Un recouvrement effectif du joint de frappe intérieur ≥ 3 mm.</w:t>
      </w:r>
    </w:p>
    <w:p>
      <w:pPr/>
      <w:r>
        <w:rPr/>
        <w:t xml:space="preserve">Lors des essais AEV sur ces systèmes, il conviendra de relever le recouvrement effectif du joint de frappe intérieur. Le DTA devra également faire figurer le recouvrement effectif minimum du joint de frappe intérieur permettant de respecter les critères sus-mentionnés.</w:t>
      </w:r>
    </w:p>
    <w:p>
      <w:pPr/>
      <w:r>
        <w:rPr>
          <w:b/>
          <w:bCs/>
        </w:rPr>
        <w:t xml:space="preserve">Illustration</w:t>
      </w:r>
    </w:p>
    <w:p>
      <w:pPr/>
      <w:r>
        <w:rPr/>
        <w:t xml:space="preserve">Illustration du Ri</w:t>
      </w:r>
    </w:p>
    <w:p>
      <w:pPr/>
      <w:r>
        <w:pict>
          <v:shape type="#_x0000_t75" style="width:128pt; height:83pt; margin-left:0pt; margin-top:0pt; mso-position-horizontal:left; mso-position-vertical:top; mso-position-horizontal-relative:char;">
            <w10:wrap type="inline"/>
            <v:imagedata r:id="rId7" o:title=""/>
          </v:shape>
        </w:pict>
      </w:r>
    </w:p>
    <w:p>
      <w:pPr>
        <w:ind w:left="720" w:right="0"/>
      </w:pPr>
      <w:r>
        <w:rPr>
          <w:rStyle w:val="font_h2"/>
        </w:rPr>
        <w:t xml:space="preserve">8.37.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8.38. 2021 (12) Systèmes de fenêtres respirantes</w:t>
      </w:r>
    </w:p>
    <w:p>
      <w:pPr/>
      <w:r>
        <w:rPr/>
        <w:t xml:space="preserve">Validé par le Groupe Spécialisé le 02/02/2022</w:t>
      </w:r>
    </w:p>
    <w:p>
      <w:pPr/>
      <w:r>
        <w:rPr>
          <w:b/>
          <w:bCs/>
        </w:rPr>
        <w:t xml:space="preserve">Description</w:t>
      </w:r>
    </w:p>
    <w:p>
      <w:pPr/>
      <w:r>
        <w:rPr/>
        <w:t xml:space="preserve">Dans le cas de système de fenêtre respirante, il conviendra d'indiquer dans les DTA, quelle est la classe d'accès au store (au sens du e-cahier 3677_V2) et quelles sont les limitations sur la température de la lame d'air qui en résultent (notamment dans le cas de fixe faux-ouvrant).</w:t>
      </w:r>
    </w:p>
    <w:p>
      <w:pPr>
        <w:ind w:left="720" w:right="0"/>
      </w:pPr>
      <w:r>
        <w:rPr>
          <w:rStyle w:val="font_h2"/>
        </w:rPr>
        <w:t xml:space="preserve">8.39. 2022 (02) Date et modalités d’application de la jurisprudence sur les systèmes de fenêtres à joints centraux</w:t>
      </w:r>
    </w:p>
    <w:p>
      <w:pPr/>
      <w:r>
        <w:rPr/>
        <w:t xml:space="preserve">Validé par le Groupe Spécialisé le 17/03/2022</w:t>
      </w:r>
    </w:p>
    <w:p>
      <w:pPr/>
      <w:r>
        <w:rPr>
          <w:b/>
          <w:bCs/>
        </w:rPr>
        <w:t xml:space="preserve">Description</w:t>
      </w:r>
    </w:p>
    <w:p>
      <w:pPr/>
      <w:r>
        <w:rPr/>
        <w:t xml:space="preserve">La jurisprudence, sur les systèmes de fenêtre à joints centraux, s’appliquera à partir de janvier 2023 pour toutes les nouvelles demandes et révisions de DTA.</w:t>
      </w:r>
    </w:p>
    <w:p>
      <w:pPr>
        <w:ind w:left="720" w:right="0"/>
      </w:pPr>
      <w:r>
        <w:rPr>
          <w:rStyle w:val="font_h2"/>
        </w:rPr>
        <w:t xml:space="preserve">8.40.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8.41.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29"/>
        </w:numPr>
      </w:pPr>
      <w:r>
        <w:rPr/>
        <w:t xml:space="preserve">Garantir une constance de qualité de fabrication et une constance de la composition chimique.</w:t>
      </w:r>
    </w:p>
    <w:p>
      <w:pPr>
        <w:pPr/>
        <w:numPr>
          <w:ilvl w:val="0"/>
          <w:numId w:val="29"/>
        </w:numPr>
      </w:pPr>
      <w:r>
        <w:rPr/>
        <w:t xml:space="preserve">En cas de changement, informer le CSTB de toute modification de la composition de son produit.</w:t>
      </w:r>
    </w:p>
    <w:p>
      <w:pPr>
        <w:pPr/>
        <w:numPr>
          <w:ilvl w:val="0"/>
          <w:numId w:val="29"/>
        </w:numPr>
      </w:pPr>
      <w:r>
        <w:rPr/>
        <w:t xml:space="preserve">Assurer le contrôle qualité en fabrication garantissant les performances de son produit.</w:t>
      </w:r>
    </w:p>
    <w:p>
      <w:pPr>
        <w:ind w:left="720" w:right="0"/>
      </w:pPr>
      <w:r>
        <w:rPr>
          <w:rStyle w:val="font_h2"/>
        </w:rPr>
        <w:t xml:space="preserve">8.42.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8.43.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0"/>
        </w:numPr>
      </w:pPr>
      <w:r>
        <w:rPr/>
        <w:t xml:space="preserve">Pour tous les nouveaux systèmes ;</w:t>
      </w:r>
    </w:p>
    <w:p>
      <w:pPr>
        <w:pPr/>
        <w:numPr>
          <w:ilvl w:val="0"/>
          <w:numId w:val="30"/>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8.44.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8.45.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8.46. 2023 (03) Opportunité de ne plus standardiser les dimensions maximales des fenêtres PVC</w:t>
      </w:r>
    </w:p>
    <w:p>
      <w:pPr/>
      <w:r>
        <w:rPr/>
        <w:t xml:space="preserve">Validé par le Groupe Spécialisé le 20/04/2023</w:t>
      </w:r>
    </w:p>
    <w:p>
      <w:pPr/>
      <w:r>
        <w:rPr>
          <w:b/>
          <w:bCs/>
        </w:rPr>
        <w:t xml:space="preserve">Description</w:t>
      </w:r>
    </w:p>
    <w:p>
      <w:pPr/>
      <w:r>
        <w:rPr/>
        <w:t xml:space="preserve">Le GS6 acte la possibilité de présenter des projets de DTA de fenêtre en PVC dont les dimensions maximales sont supérieures aux dimensions « standardisées » comme c’est déjà le cas pour les DTA de fenêtres en Aluminium RPT.</w:t>
      </w:r>
    </w:p>
    <w:p>
      <w:pPr>
        <w:ind w:left="720" w:right="0"/>
      </w:pPr>
      <w:r>
        <w:rPr>
          <w:rStyle w:val="font_h2"/>
        </w:rPr>
        <w:t xml:space="preserve">8.47.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8.48.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8.49.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8.50.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8.51.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8.52.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8.53.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1"/>
        </w:numPr>
      </w:pPr>
      <w:r>
        <w:rPr/>
        <w:t xml:space="preserve">le préciser dans le paragraphe « domaine d’emploi », </w:t>
      </w:r>
    </w:p>
    <w:p>
      <w:pPr>
        <w:pPr/>
        <w:numPr>
          <w:ilvl w:val="0"/>
          <w:numId w:val="31"/>
        </w:numPr>
      </w:pPr>
      <w:r>
        <w:rPr/>
        <w:t xml:space="preserve">l’indiquer dans le paragraphe « remarques complémentaires du groupe spécialisé », </w:t>
      </w:r>
    </w:p>
    <w:p>
      <w:pPr>
        <w:pPr/>
        <w:numPr>
          <w:ilvl w:val="0"/>
          <w:numId w:val="31"/>
        </w:numPr>
      </w:pPr>
      <w:r>
        <w:rPr/>
        <w:t xml:space="preserve">présenter dans le dossier publié un schéma montrant la mise en place de ce profilé et son interaction avec le gros œuvre.</w:t>
      </w:r>
    </w:p>
    <w:p>
      <w:pPr>
        <w:ind w:left="720" w:right="0"/>
      </w:pPr>
      <w:r>
        <w:rPr>
          <w:rStyle w:val="font_h2"/>
        </w:rPr>
        <w:t xml:space="preserve">8.54.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8.55.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8.56.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8.57.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8.58.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8.59.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8.60.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2"/>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2"/>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8.61. 2024 (05) Entretien des fenêtres respirantes</w:t>
      </w:r>
    </w:p>
    <w:p>
      <w:pPr/>
      <w:r>
        <w:rPr/>
        <w:t xml:space="preserve">Validé par le Groupe Spécialisé le 26/06/2024</w:t>
      </w:r>
    </w:p>
    <w:p>
      <w:pPr/>
      <w:r>
        <w:rPr>
          <w:b/>
          <w:bCs/>
        </w:rPr>
        <w:t xml:space="preserve">Description</w:t>
      </w:r>
    </w:p>
    <w:p>
      <w:pPr/>
      <w:r>
        <w:rPr/>
        <w:t xml:space="preserve">Pour les DTA de fenêtres respirantes, le GS6 souhaite que lui soient présentées les procédures de nettoyage et de remplacement des filtres. Ces procédures seront expliquées dans le paragraphe « Maintien en service du produit » du DTA publié. Cela s’applique pour les dossiers présentés à partir du 26 juin 2024.</w:t>
      </w:r>
    </w:p>
    <w:p>
      <w:pPr>
        <w:ind w:left="720" w:right="0"/>
      </w:pPr>
      <w:r>
        <w:rPr>
          <w:rStyle w:val="font_h2"/>
        </w:rPr>
        <w:t xml:space="preserve">8.62. 2024 (05) Références chantiers des fenêtres respirantes</w:t>
      </w:r>
    </w:p>
    <w:p>
      <w:pPr/>
      <w:r>
        <w:rPr/>
        <w:t xml:space="preserve">Validé par le Groupe Spécialisé le 26/06/2024</w:t>
      </w:r>
    </w:p>
    <w:p>
      <w:pPr/>
      <w:r>
        <w:rPr>
          <w:b/>
          <w:bCs/>
        </w:rPr>
        <w:t xml:space="preserve">Description</w:t>
      </w:r>
    </w:p>
    <w:p>
      <w:pPr/>
      <w:r>
        <w:rPr/>
        <w:t xml:space="preserve">Pour les DTA de fenêtres respirantes, seuls les chantiers ayant fait l’objet d’un suivi pourront être indiqués dans la partie « Références de chantiers ». Lors de chaque révision, les références de chantiers ayant eu lieu depuis la dernière révision et ayant fait l’objet d’un suivi devront être indiquées. Dans le cas où aucun chantier ayant fait l’objet d’un suivi n’a eu lieu, il sera indiqué « Le demandeur déclare n'avoir réalisé aucun chantier avec ce système depuis au moins 2 ans. ».</w:t>
      </w:r>
    </w:p>
    <w:p>
      <w:pPr>
        <w:ind w:left="720" w:right="0"/>
      </w:pPr>
      <w:r>
        <w:rPr>
          <w:rStyle w:val="font_h2"/>
        </w:rPr>
        <w:t xml:space="preserve">8.63. 2024 (05) Rédaction pour les fenêtres respirantes</w:t>
      </w:r>
    </w:p>
    <w:p>
      <w:pPr/>
      <w:r>
        <w:rPr/>
        <w:t xml:space="preserve">Validé par le Groupe Spécialisé le 26/06/2024</w:t>
      </w:r>
    </w:p>
    <w:p>
      <w:pPr/>
      <w:r>
        <w:rPr>
          <w:b/>
          <w:bCs/>
        </w:rPr>
        <w:t xml:space="preserve">Description</w:t>
      </w:r>
    </w:p>
    <w:p>
      <w:pPr/>
      <w:r>
        <w:rPr/>
        <w:t xml:space="preserve">Pour les DTA de fenêtres respirantes :</w:t>
      </w:r>
    </w:p>
    <w:p>
      <w:pPr>
        <w:pPr/>
        <w:numPr>
          <w:ilvl w:val="0"/>
          <w:numId w:val="33"/>
        </w:numPr>
      </w:pPr>
      <w:r>
        <w:rPr/>
        <w:t xml:space="preserve">l’encart spécifique en première page du DTA est complété et devient « Ne peuvent se prévaloir du présent Document Technique d’Application que les unités de fabrication bénéficiant d’un suivi par un organisme tiers conformément au e-cahier du CSTB 3759 » ;</w:t>
      </w:r>
    </w:p>
    <w:p>
      <w:pPr>
        <w:pPr/>
        <w:numPr>
          <w:ilvl w:val="0"/>
          <w:numId w:val="33"/>
        </w:numPr>
      </w:pPr>
      <w:r>
        <w:rPr/>
        <w:t xml:space="preserve">la remarque du GS6 devient « Compte tenu de la sensibilité de fabrication de ce système, seules les unités de fabrication bénéficiant d’un suivi par un organisme tiers, conformément au e-cahier du CSTB 3759, peuvent se prévaloir du présent Document Technique d’Application. La liste des unités bénéficiant d'un tel suivi peut être consultée à l'adresse suivante : </w:t>
      </w:r>
      <w:hyperlink r:id="rId8" w:history="1">
        <w:r>
          <w:rPr/>
          <w:t xml:space="preserve">https://www.ccfat.fr/produits-procedes/famille/443/</w:t>
        </w:r>
      </w:hyperlink>
      <w:r>
        <w:rPr/>
        <w:t xml:space="preserve"> ».</w:t>
      </w:r>
    </w:p>
    <w:p>
      <w:pPr>
        <w:ind w:left="720" w:right="0"/>
      </w:pPr>
      <w:r>
        <w:rPr>
          <w:rStyle w:val="font_h2"/>
        </w:rPr>
        <w:t xml:space="preserve">8.64.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8.65. 2024 (11) Efforts de manœuvres</w:t>
      </w:r>
    </w:p>
    <w:p>
      <w:pPr/>
      <w:r>
        <w:rPr/>
        <w:t xml:space="preserve">Validé par le Groupe Spécialisé le 19/12/2024</w:t>
      </w:r>
    </w:p>
    <w:p>
      <w:pPr/>
      <w:r>
        <w:rPr>
          <w:b/>
          <w:bCs/>
        </w:rPr>
        <w:t xml:space="preserve">Description</w:t>
      </w:r>
    </w:p>
    <w:p>
      <w:pPr/>
      <w:r>
        <w:rPr/>
        <w:t xml:space="preserve">Le GS6 estime qu’un effort de manœuvre pour l’ouverture ou la fermeture des fenêtres en position soufflet supérieur ou égal à 150 N n’est pas recevable.Pour les efforts compris entre 120 N et 150 N, le GS6 examinera les dispositions techniques au cas par cas.</w:t>
      </w:r>
    </w:p>
    <w:p>
      <w:pPr>
        <w:ind w:left="720" w:right="0"/>
      </w:pPr>
      <w:r>
        <w:rPr>
          <w:rStyle w:val="font_h2"/>
        </w:rPr>
        <w:t xml:space="preserve">8.66.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8.67.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8.68. 2025 (06) Essais d’endurance ouverture-fermeture sur porte-fenêtre OB2</w:t>
      </w:r>
    </w:p>
    <w:p>
      <w:pPr/>
      <w:r>
        <w:rPr/>
        <w:t xml:space="preserve">Validé par le Groupe Spécialisé le 18/09/2025</w:t>
      </w:r>
    </w:p>
    <w:p>
      <w:pPr/>
      <w:r>
        <w:rPr>
          <w:b/>
          <w:bCs/>
        </w:rPr>
        <w:t xml:space="preserve">Description</w:t>
      </w:r>
    </w:p>
    <w:p>
      <w:pPr/>
      <w:r>
        <w:rPr/>
        <w:t xml:space="preserve">Rappel de la jurisprudence de mars 2012 :Lorsqu'un projet de DTA comporte une porte-fenêtre OB2, un essai d'endurance ouverture/fermeture et essais mécaniques spécifiques devront être réalisés dans cette configuration.</w:t>
      </w:r>
    </w:p>
    <w:p>
      <w:pPr/>
      <w:r>
        <w:rPr/>
        <w:t xml:space="preserve">Le GS6 souhaite modifier cette jurisprudence de la manière suivante :Lorsqu'un projet de DTA comporte une porte-fenêtre OB2, un essai d'endurance ouverture/fermeture et des essais mécaniques spécifiques devront être réalisés dans cette configuration, hormis dans les cas où la gâche permettant le basculement en OB est portée sur le dormant.</w:t>
      </w:r>
    </w:p>
    <w:p>
      <w:pPr>
        <w:ind w:left="720" w:right="0"/>
      </w:pPr>
      <w:r>
        <w:rPr>
          <w:rStyle w:val="font_h2"/>
        </w:rPr>
        <w:t xml:space="preserve">8.69.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8.70.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8.71.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4"/>
        </w:numPr>
      </w:pPr>
      <w:r>
        <w:rPr/>
        <w:t xml:space="preserve">Classement A*3 : la justification est jugée recevable. </w:t>
      </w:r>
    </w:p>
    <w:p>
      <w:pPr>
        <w:pPr/>
        <w:numPr>
          <w:ilvl w:val="0"/>
          <w:numId w:val="34"/>
        </w:numPr>
      </w:pPr>
      <w:r>
        <w:rPr/>
        <w:t xml:space="preserve">Classement A*3 jusqu’à 450 Pa : la justification est présentable devant le GS6 qui jugera à dire d’experts. </w:t>
      </w:r>
    </w:p>
    <w:p>
      <w:pPr>
        <w:pPr/>
        <w:numPr>
          <w:ilvl w:val="0"/>
          <w:numId w:val="34"/>
        </w:numPr>
      </w:pPr>
      <w:r>
        <w:rPr/>
        <w:t xml:space="preserve">Classement inférieur à A*3 à 450 Pa : la justification n’est pas recevable.</w:t>
      </w:r>
    </w:p>
    <w:p>
      <w:pPr>
        <w:ind w:left="720" w:right="0"/>
      </w:pPr>
      <w:r>
        <w:rPr>
          <w:rStyle w:val="font_h2"/>
        </w:rPr>
        <w:t xml:space="preserve">8.72. 2025 (10) Protocole de maintenance des fenêtres respirantes</w:t>
      </w:r>
    </w:p>
    <w:p>
      <w:pPr/>
      <w:r>
        <w:rPr/>
        <w:t xml:space="preserve">Validé par le Groupe Spécialisé le 13/11/2025</w:t>
      </w:r>
    </w:p>
    <w:p>
      <w:pPr/>
      <w:r>
        <w:rPr>
          <w:b/>
          <w:bCs/>
        </w:rPr>
        <w:t xml:space="preserve">Description</w:t>
      </w:r>
    </w:p>
    <w:p>
      <w:pPr/>
      <w:r>
        <w:rPr/>
        <w:t xml:space="preserve">Les DTA de fenêtres respirantes devront dorénavant présenter le principe de maintenance de la partie respirante, en indiquant les contrôles, la régularité, la facilité d’accès, … </w:t>
      </w:r>
    </w:p>
    <w:p>
      <w:pPr/>
      <w:r>
        <w:rPr/>
        <w:t xml:space="preserve">Il sera ajouté au paragraphe « 2.5 Maintien en service du produit ou procédé », la maintenance prévue pour les fenêtres respirantes, dont notamment, le protocole précis de nettoyage et de changement de filtre.</w:t>
      </w:r>
    </w:p>
    <w:p>
      <w:pPr>
        <w:ind w:left="720" w:right="0"/>
      </w:pPr>
      <w:r>
        <w:rPr>
          <w:rStyle w:val="font_h2"/>
        </w:rPr>
        <w:t xml:space="preserve">8.73. 2025 (10) Couleur des stores dans les fenêtres respirantes</w:t>
      </w:r>
    </w:p>
    <w:p>
      <w:pPr/>
      <w:r>
        <w:rPr/>
        <w:t xml:space="preserve">Validé par le Groupe Spécialisé le 13/11/2025</w:t>
      </w:r>
    </w:p>
    <w:p>
      <w:pPr/>
      <w:r>
        <w:rPr>
          <w:b/>
          <w:bCs/>
        </w:rPr>
        <w:t xml:space="preserve">Description</w:t>
      </w:r>
    </w:p>
    <w:p>
      <w:pPr/>
      <w:r>
        <w:rPr/>
        <w:t xml:space="preserve">Dans les remarques complémentaires du GS, dans le cas des fenêtres respirantes, il conviendra d’ajouter la phrase suivante : « En présence d’un store de couleur foncée, une vigilance est à apporter vis à vis des températures atteintes dans la lame d’air respirante (voir paragraphe « 2.3 Dispositions de conception ») ».</w:t>
      </w:r>
    </w:p>
    <w:p>
      <w:pPr>
        <w:ind w:left="720" w:right="0"/>
      </w:pPr>
      <w:r>
        <w:rPr>
          <w:rStyle w:val="font_h2"/>
        </w:rPr>
        <w:t xml:space="preserve">8.74.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5"/>
        </w:numPr>
      </w:pPr>
      <w:r>
        <w:rPr/>
        <w:t xml:space="preserve">les vitrages isolants doubles et/ou triples ; </w:t>
      </w:r>
    </w:p>
    <w:p>
      <w:pPr>
        <w:pPr/>
        <w:numPr>
          <w:ilvl w:val="0"/>
          <w:numId w:val="35"/>
        </w:numPr>
      </w:pPr>
      <w:r>
        <w:rPr/>
        <w:t xml:space="preserve">les vitrages isolants simples justifiant de performances thermiques (exemple : vitrages sous vide) ; </w:t>
      </w:r>
    </w:p>
    <w:p>
      <w:pPr>
        <w:pPr/>
        <w:numPr>
          <w:ilvl w:val="0"/>
          <w:numId w:val="35"/>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6"/>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6"/>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8.75.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8.76.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8.77.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8.78.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8.79.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9"/>
      <w:footerReference w:type="default" r:id="rId1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F58E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9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E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334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09C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BA6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4FE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662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FDF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51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B6D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852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DD4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DE7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BC9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56B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E9E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F3A0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DF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39E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FDF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6B7C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936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C00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F39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E02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FA53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FF7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cfat.fr/produits-procedes/famille/443/"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2026-08-08T20:37:20+02:00</dcterms:created>
  <dcterms:modified xsi:type="dcterms:W3CDTF">2026-08-08T20:37:20+02:00</dcterms:modified>
</cp:coreProperties>
</file>

<file path=docProps/custom.xml><?xml version="1.0" encoding="utf-8"?>
<Properties xmlns="http://schemas.openxmlformats.org/officeDocument/2006/custom-properties" xmlns:vt="http://schemas.openxmlformats.org/officeDocument/2006/docPropsVTypes"/>
</file>