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20/06/2026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Fenêtre à la française, oscillo battante ou à soufflet en PVC</w:t>
      </w:r>
    </w:p>
    <w:p>
      <w:pPr/>
      <w:r>
        <w:rPr>
          <w:rStyle w:val="font_h1"/>
        </w:rPr>
        <w:t xml:space="preserve">1. Principe</w:t>
      </w:r>
    </w:p>
    <w:p>
      <w:pPr/>
      <w:r>
        <w:rPr/>
        <w:t xml:space="preserve">Validé par le Groupe Spécialisé le 02/01/2018</w:t>
      </w:r>
    </w:p>
    <w:p>
      <w:pPr/>
      <w:r>
        <w:rPr>
          <w:b/>
          <w:bCs/>
        </w:rPr>
        <w:t xml:space="preserve">Description</w:t>
      </w:r>
    </w:p>
    <w:p>
      <w:pPr/>
      <w:r>
        <w:rPr/>
        <w:t xml:space="preserve">Préciser pour le produit objet de la demande :</w:t>
      </w:r>
    </w:p>
    <w:p>
      <w:pPr>
        <w:pPr/>
        <w:numPr>
          <w:ilvl w:val="0"/>
          <w:numId w:val="9"/>
        </w:numPr>
      </w:pPr>
      <w:r>
        <w:rPr/>
        <w:t xml:space="preserve">nature des travaux (neuf, rénovation...) ;</w:t>
      </w:r>
    </w:p>
    <w:p>
      <w:pPr>
        <w:pPr/>
        <w:numPr>
          <w:ilvl w:val="0"/>
          <w:numId w:val="9"/>
        </w:numPr>
      </w:pPr>
      <w:r>
        <w:rPr/>
        <w:t xml:space="preserve">types des gros-oeuvre visés (doublages intérieurs, ITE, ossature bois ...) ;</w:t>
      </w:r>
    </w:p>
    <w:p>
      <w:pPr>
        <w:pPr/>
        <w:numPr>
          <w:ilvl w:val="0"/>
          <w:numId w:val="9"/>
        </w:numPr>
      </w:pPr>
      <w:r>
        <w:rPr/>
        <w:t xml:space="preserve">position de la fenêtre par rapport au GO (applique intérieure, nu extérieur, mi mur ....).</w:t>
      </w:r>
    </w:p>
    <w:p>
      <w:pPr/>
      <w:r>
        <w:rPr/>
        <w:t xml:space="preserve">Définir les types de fenêtres objet de la demande de DTA :</w:t>
      </w:r>
    </w:p>
    <w:p>
      <w:pPr>
        <w:pPr/>
        <w:numPr>
          <w:ilvl w:val="0"/>
          <w:numId w:val="10"/>
        </w:numPr>
      </w:pPr>
      <w:r>
        <w:rPr/>
        <w:t xml:space="preserve">modes d’ouverture, nombre de vantaux ;</w:t>
      </w:r>
    </w:p>
    <w:p>
      <w:pPr>
        <w:pPr/>
        <w:numPr>
          <w:ilvl w:val="0"/>
          <w:numId w:val="10"/>
        </w:numPr>
      </w:pPr>
      <w:r>
        <w:rPr/>
        <w:t xml:space="preserve">les dimensions maxi hors tout et les dimensions correspondantes des baies concernées.</w:t>
      </w:r>
    </w:p>
    <w:p>
      <w:pPr/>
      <w:r>
        <w:rPr/>
        <w:t xml:space="preserve">Préciser le(s) lieu(x) géographique(s) où est envisagée la pose des fenêtres objet de la demande.</w:t>
      </w:r>
    </w:p>
    <w:p>
      <w:pPr/>
      <w:r>
        <w:rPr>
          <w:b/>
          <w:bCs/>
        </w:rPr>
        <w:t xml:space="preserve">Justification</w:t>
      </w:r>
    </w:p>
    <w:p>
      <w:pPr/>
      <w:r>
        <w:rPr>
          <w:i/>
          <w:iCs/>
        </w:rPr>
        <w:t xml:space="preserve">NB : Une définition de la trame de ce Dossier Technique ainsi qu’un fichier informatique de situations de pose sont à disposition sur simple demande.</w:t>
      </w:r>
    </w:p>
    <w:p>
      <w:pPr/>
      <w:r>
        <w:rPr>
          <w:rStyle w:val="font_h1"/>
        </w:rPr>
        <w:t xml:space="preserve">2. Matériaux</w:t>
      </w:r>
    </w:p>
    <w:p>
      <w:pPr>
        <w:ind w:left="720" w:right="0"/>
      </w:pPr>
      <w:r>
        <w:rPr>
          <w:rStyle w:val="font_h2"/>
        </w:rPr>
        <w:t xml:space="preserve">2.1. Profilés PVC</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 pour notamment :</w:t>
      </w:r>
    </w:p>
    <w:p>
      <w:pPr>
        <w:pPr/>
        <w:numPr>
          <w:ilvl w:val="0"/>
          <w:numId w:val="11"/>
        </w:numPr>
      </w:pPr>
      <w:r>
        <w:rPr/>
        <w:t xml:space="preserve">Profilés PVC :</w:t>
      </w:r>
    </w:p>
    <w:p>
      <w:pPr>
        <w:pPr/>
        <w:numPr>
          <w:ilvl w:val="1"/>
          <w:numId w:val="11"/>
        </w:numPr>
      </w:pPr>
      <w:r>
        <w:rPr/>
        <w:t xml:space="preserve">Profilés principaux ;</w:t>
      </w:r>
    </w:p>
    <w:p>
      <w:pPr>
        <w:pPr/>
        <w:numPr>
          <w:ilvl w:val="1"/>
          <w:numId w:val="11"/>
        </w:numPr>
      </w:pPr>
      <w:r>
        <w:rPr/>
        <w:t xml:space="preserve">Profilés complémentaires ;</w:t>
      </w:r>
    </w:p>
    <w:p>
      <w:pPr>
        <w:pPr/>
        <w:numPr>
          <w:ilvl w:val="1"/>
          <w:numId w:val="11"/>
        </w:numPr>
      </w:pPr>
      <w:r>
        <w:rPr/>
        <w:t xml:space="preserve">Films colorés.</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2.2. Profilés métalliques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2.3. Profilés complémentaires d'étanchéité</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2.4. Renforts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dimensions.</w:t>
      </w:r>
    </w:p>
    <w:p>
      <w:pPr/>
      <w:r>
        <w:rPr/>
        <w:t xml:space="preserve">Fournir un dossier de plans illustrant tous les constituants des fenêtres objet de la demande.</w:t>
      </w:r>
    </w:p>
    <w:p>
      <w:pPr>
        <w:ind w:left="720" w:right="0"/>
      </w:pPr>
      <w:r>
        <w:rPr>
          <w:rStyle w:val="font_h2"/>
        </w:rPr>
        <w:t xml:space="preserve">2.5. Accessoires et pièces complémentaires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2.6. Quincaillerie</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origines et recensement.</w:t>
      </w:r>
    </w:p>
    <w:p>
      <w:pPr/>
      <w:r>
        <w:rPr/>
        <w:t xml:space="preserve">Fournir un dossier de plans illustrant tous les constituants des fenêtres objet de la demande.</w:t>
      </w:r>
    </w:p>
    <w:p>
      <w:pPr>
        <w:ind w:left="720" w:right="0"/>
      </w:pPr>
      <w:r>
        <w:rPr>
          <w:rStyle w:val="font_h2"/>
        </w:rPr>
        <w:t xml:space="preserve">2.7. Vitrage</w:t>
      </w:r>
    </w:p>
    <w:p>
      <w:pPr>
        <w:ind w:left="720" w:right="0"/>
      </w:pPr>
      <w:r>
        <w:rPr>
          <w:rStyle w:val="font_h2"/>
        </w:rPr>
        <w:t xml:space="preserve">2.8. Film coloré</w:t>
      </w:r>
    </w:p>
    <w:p>
      <w:pPr/>
      <w:r>
        <w:rPr>
          <w:rStyle w:val="font_h1"/>
        </w:rPr>
        <w:t xml:space="preserve">3. Eléments</w:t>
      </w:r>
    </w:p>
    <w:p>
      <w:pPr>
        <w:ind w:left="720" w:right="0"/>
      </w:pPr>
      <w:r>
        <w:rPr>
          <w:rStyle w:val="font_h2"/>
        </w:rPr>
        <w:t xml:space="preserve">3.1. Cadre dormant</w:t>
      </w:r>
    </w:p>
    <w:p>
      <w:pPr/>
      <w:r>
        <w:rPr/>
        <w:t xml:space="preserve">Validé par le Groupe Spécialisé le 13/03/2025</w:t>
      </w:r>
    </w:p>
    <w:p>
      <w:pPr/>
      <w:r>
        <w:rPr>
          <w:b/>
          <w:bCs/>
        </w:rPr>
        <w:t xml:space="preserve">Description</w:t>
      </w:r>
    </w:p>
    <w:p>
      <w:pPr/>
      <w:r>
        <w:rPr/>
        <w:t xml:space="preserve">Définir la fabrication des cadres dormants, par la description des modalités d’assemblage, d’étanchéité, de drainage et équilibrage de pression ainsi que les prises de volumes qui sont envisagées.</w:t>
      </w:r>
    </w:p>
    <w:p>
      <w:pPr/>
      <w:r>
        <w:rPr>
          <w:i/>
          <w:iCs/>
        </w:rPr>
        <w:t xml:space="preserve">Cf NF EN 14351-1+A2// e-cahier CSTB 3625 // NF DTU 36.5 P1-1 et P1-2 // NF DTU 39 // NF P 20-650-1.</w:t>
      </w:r>
    </w:p>
    <w:p>
      <w:pPr/>
      <w:r>
        <w:rPr>
          <w:b/>
          <w:bCs/>
        </w:rPr>
        <w:t xml:space="preserve">Justification</w:t>
      </w:r>
    </w:p>
    <w:p>
      <w:pPr/>
      <w:r>
        <w:rPr/>
        <w:t xml:space="preserve">Renseigner au moins les éléments suivants :</w:t>
      </w:r>
    </w:p>
    <w:p>
      <w:pPr>
        <w:pPr/>
        <w:numPr>
          <w:ilvl w:val="0"/>
          <w:numId w:val="12"/>
        </w:numPr>
      </w:pPr>
      <w:r>
        <w:rPr/>
        <w:t xml:space="preserve">Cadre dormant :</w:t>
      </w:r>
    </w:p>
    <w:p>
      <w:pPr>
        <w:pPr/>
        <w:numPr>
          <w:ilvl w:val="1"/>
          <w:numId w:val="12"/>
        </w:numPr>
      </w:pPr>
      <w:r>
        <w:rPr/>
        <w:t xml:space="preserve">Meneaux ;</w:t>
      </w:r>
    </w:p>
    <w:p>
      <w:pPr>
        <w:pPr/>
        <w:numPr>
          <w:ilvl w:val="1"/>
          <w:numId w:val="12"/>
        </w:numPr>
      </w:pPr>
      <w:r>
        <w:rPr/>
        <w:t xml:space="preserve">Drainage ;</w:t>
      </w:r>
    </w:p>
    <w:p>
      <w:pPr>
        <w:pPr/>
        <w:numPr>
          <w:ilvl w:val="1"/>
          <w:numId w:val="12"/>
        </w:numPr>
      </w:pPr>
      <w:r>
        <w:rPr/>
        <w:t xml:space="preserve">Équilibrage de pression ;</w:t>
      </w:r>
    </w:p>
    <w:p>
      <w:pPr>
        <w:pPr/>
        <w:numPr>
          <w:ilvl w:val="1"/>
          <w:numId w:val="12"/>
        </w:numPr>
      </w:pPr>
      <w:r>
        <w:rPr/>
        <w:t xml:space="preserve">Fourrure d'épaisseur.</w:t>
      </w:r>
    </w:p>
    <w:p>
      <w:pPr/>
      <w:r>
        <w:rPr/>
        <w:t xml:space="preserve">Fournir un dossier de plans illustrant toutes les modalités de fabrication des cadres ouvrants des fenêtres objet de la demande.</w:t>
      </w:r>
    </w:p>
    <w:p>
      <w:pPr>
        <w:ind w:left="720" w:right="0"/>
      </w:pPr>
      <w:r>
        <w:rPr>
          <w:rStyle w:val="font_h2"/>
        </w:rPr>
        <w:t xml:space="preserve">3.2. Cadre ouvrant</w:t>
      </w:r>
    </w:p>
    <w:p>
      <w:pPr/>
      <w:r>
        <w:rPr/>
        <w:t xml:space="preserve">Validé par le Groupe Spécialisé le 13/03/2025</w:t>
      </w:r>
    </w:p>
    <w:p>
      <w:pPr/>
      <w:r>
        <w:rPr>
          <w:b/>
          <w:bCs/>
        </w:rPr>
        <w:t xml:space="preserve">Description</w:t>
      </w:r>
    </w:p>
    <w:p>
      <w:pPr/>
      <w:r>
        <w:rPr/>
        <w:t xml:space="preserve">Définir la fabrication des cadres ouvrants, par la description des modalités d’assemblage, d’étanchéité, de drainage et équilibrage de pression ainsi que les prises de volumes qui sont envisagées.</w:t>
      </w:r>
    </w:p>
    <w:p>
      <w:pPr/>
      <w:r>
        <w:rPr>
          <w:i/>
          <w:iCs/>
        </w:rPr>
        <w:t xml:space="preserve">Cf NF EN 14351-1+A2// e-cahier CSTB 3625 // NF DTU 36.5 P1-1 et P1-2 // NF DTU 39 // NF P 20-650-1.</w:t>
      </w:r>
    </w:p>
    <w:p>
      <w:pPr/>
      <w:r>
        <w:rPr>
          <w:b/>
          <w:bCs/>
        </w:rPr>
        <w:t xml:space="preserve">Justification</w:t>
      </w:r>
    </w:p>
    <w:p>
      <w:pPr/>
      <w:r>
        <w:rPr/>
        <w:t xml:space="preserve">Renseigner au moins les éléments suivants :</w:t>
      </w:r>
    </w:p>
    <w:p>
      <w:pPr>
        <w:pPr/>
        <w:numPr>
          <w:ilvl w:val="0"/>
          <w:numId w:val="13"/>
        </w:numPr>
      </w:pPr>
      <w:r>
        <w:rPr/>
        <w:t xml:space="preserve">Cadre ouvrant :</w:t>
      </w:r>
    </w:p>
    <w:p>
      <w:pPr>
        <w:pPr/>
        <w:numPr>
          <w:ilvl w:val="1"/>
          <w:numId w:val="13"/>
        </w:numPr>
      </w:pPr>
      <w:r>
        <w:rPr/>
        <w:t xml:space="preserve">Battements ;</w:t>
      </w:r>
    </w:p>
    <w:p>
      <w:pPr>
        <w:pPr/>
        <w:numPr>
          <w:ilvl w:val="1"/>
          <w:numId w:val="13"/>
        </w:numPr>
      </w:pPr>
      <w:r>
        <w:rPr/>
        <w:t xml:space="preserve">Traverses ;</w:t>
      </w:r>
    </w:p>
    <w:p>
      <w:pPr>
        <w:pPr/>
        <w:numPr>
          <w:ilvl w:val="1"/>
          <w:numId w:val="13"/>
        </w:numPr>
      </w:pPr>
      <w:r>
        <w:rPr/>
        <w:t xml:space="preserve">Drainage.</w:t>
      </w:r>
    </w:p>
    <w:p>
      <w:pPr/>
      <w:r>
        <w:rPr/>
        <w:t xml:space="preserve">Fournir un dossier de plans illustrant toutes les modalités de fabrication des cadres ouvrants des fenêtres objet de la demande.</w:t>
      </w:r>
    </w:p>
    <w:p>
      <w:pPr>
        <w:ind w:left="720" w:right="0"/>
      </w:pPr>
      <w:r>
        <w:rPr>
          <w:rStyle w:val="font_h2"/>
        </w:rPr>
        <w:t xml:space="preserve">3.3. Assemblage mécanique</w:t>
      </w:r>
    </w:p>
    <w:p>
      <w:pPr/>
      <w:r>
        <w:rPr/>
        <w:t xml:space="preserve">Validé par le Groupe Spécialisé le 13/03/2025</w:t>
      </w:r>
    </w:p>
    <w:p>
      <w:pPr/>
      <w:r>
        <w:rPr>
          <w:b/>
          <w:bCs/>
        </w:rPr>
        <w:t xml:space="preserve">Description</w:t>
      </w:r>
    </w:p>
    <w:p>
      <w:pPr/>
      <w:r>
        <w:rPr/>
        <w:t xml:space="preserve">Définir la fabrication des cadres (ouvrants, dormants), par la description des modalités d’assemblage, d’étanchéité, de drainage et équilibrage de pression ainsi que les prises de volumes qui sont envisagées.</w:t>
      </w:r>
    </w:p>
    <w:p>
      <w:pPr/>
      <w:r>
        <w:rPr>
          <w:i/>
          <w:iCs/>
        </w:rPr>
        <w:t xml:space="preserve">Cf NF EN 14351-1+A2// e-cahier CSTB 3625 // NF DTU 36.5 P1-1 et P1-2 // NF DTU 39 // NF P 20-650-1.</w:t>
      </w:r>
    </w:p>
    <w:p>
      <w:pPr/>
      <w:r>
        <w:rPr>
          <w:b/>
          <w:bCs/>
        </w:rPr>
        <w:t xml:space="preserve">Justification</w:t>
      </w:r>
    </w:p>
    <w:p>
      <w:pPr/>
      <w:r>
        <w:rPr/>
        <w:t xml:space="preserve">Fournir un dossier de plans illustrant tous les constituants, les modalités de fabrication des cadres (ouvrants et dormants), et les modalités de mise en oeuvre des fenêtres objet de la demande.</w:t>
      </w:r>
    </w:p>
    <w:p>
      <w:pPr>
        <w:ind w:left="720" w:right="0"/>
      </w:pPr>
      <w:r>
        <w:rPr>
          <w:rStyle w:val="font_h2"/>
        </w:rPr>
        <w:t xml:space="preserve">3.4. Renforts</w:t>
      </w:r>
    </w:p>
    <w:p>
      <w:pPr>
        <w:ind w:left="720" w:right="0"/>
      </w:pPr>
      <w:r>
        <w:rPr>
          <w:rStyle w:val="font_h2"/>
        </w:rPr>
        <w:t xml:space="preserve">3.5. Ferrage - Verrouillage</w:t>
      </w:r>
    </w:p>
    <w:p>
      <w:pPr>
        <w:ind w:left="720" w:right="0"/>
      </w:pPr>
      <w:r>
        <w:rPr>
          <w:rStyle w:val="font_h2"/>
        </w:rPr>
        <w:t xml:space="preserve">3.6. Vitrage</w:t>
      </w:r>
    </w:p>
    <w:p>
      <w:pPr>
        <w:ind w:left="720" w:right="0"/>
      </w:pPr>
      <w:r>
        <w:rPr>
          <w:rStyle w:val="font_h2"/>
        </w:rPr>
        <w:t xml:space="preserve">3.7. Dimensions maximales</w:t>
      </w:r>
    </w:p>
    <w:p>
      <w:pPr/>
      <w:r>
        <w:rPr/>
        <w:t xml:space="preserve">Validé par le Groupe Spécialisé le 02/01/2018</w:t>
      </w:r>
    </w:p>
    <w:p>
      <w:pPr/>
      <w:r>
        <w:rPr>
          <w:b/>
          <w:bCs/>
        </w:rPr>
        <w:t xml:space="preserve">Description</w:t>
      </w:r>
    </w:p>
    <w:p>
      <w:pPr/>
      <w:r>
        <w:rPr/>
        <w:t xml:space="preserve">Définir les dimensions maxi hors tout et les dimensions correspondantes des baies concernées.</w:t>
      </w:r>
    </w:p>
    <w:p>
      <w:pPr/>
      <w:r>
        <w:rPr>
          <w:b/>
          <w:bCs/>
        </w:rPr>
        <w:t xml:space="preserve">Justification</w:t>
      </w:r>
    </w:p>
    <w:p>
      <w:pPr/>
      <w:r>
        <w:rPr/>
        <w:t xml:space="preserve">Fournir les abaques de dimensionnement et les dimensions maximum prévues dans la demande en fonction des configurations.</w:t>
      </w:r>
    </w:p>
    <w:p>
      <w:pPr/>
      <w:r>
        <w:rPr>
          <w:rStyle w:val="font_h1"/>
        </w:rPr>
        <w:t xml:space="preserve">4. Fabrication</w:t>
      </w:r>
    </w:p>
    <w:p>
      <w:pPr>
        <w:ind w:left="720" w:right="0"/>
      </w:pPr>
      <w:r>
        <w:rPr>
          <w:rStyle w:val="font_h2"/>
        </w:rPr>
        <w:t xml:space="preserve">4.1. Extrusion des profilés PVC</w:t>
      </w:r>
    </w:p>
    <w:p>
      <w:pPr>
        <w:ind w:left="720" w:right="0"/>
      </w:pPr>
      <w:r>
        <w:rPr>
          <w:rStyle w:val="font_h2"/>
        </w:rPr>
        <w:t xml:space="preserve">4.2. Assemblage des fenêtres</w:t>
      </w:r>
    </w:p>
    <w:p>
      <w:pPr>
        <w:ind w:left="720" w:right="0"/>
      </w:pPr>
      <w:r>
        <w:rPr>
          <w:rStyle w:val="font_h2"/>
        </w:rPr>
        <w:t xml:space="preserve">4.3. Films</w:t>
      </w:r>
    </w:p>
    <w:p>
      <w:pPr>
        <w:ind w:left="720" w:right="0"/>
      </w:pPr>
      <w:r>
        <w:rPr>
          <w:rStyle w:val="font_h2"/>
        </w:rPr>
        <w:t xml:space="preserve">4.4. Plaxage des profilés</w:t>
      </w:r>
    </w:p>
    <w:p>
      <w:pPr/>
      <w:r>
        <w:rPr>
          <w:rStyle w:val="font_h1"/>
        </w:rPr>
        <w:t xml:space="preserve">5. Mise en oeuvre</w:t>
      </w:r>
    </w:p>
    <w:p>
      <w:pPr>
        <w:ind w:left="720" w:right="0"/>
      </w:pPr>
      <w:r>
        <w:rPr>
          <w:rStyle w:val="font_h2"/>
        </w:rPr>
        <w:t xml:space="preserve">5.1. Mise en oeuvre</w:t>
      </w:r>
    </w:p>
    <w:p>
      <w:pPr/>
      <w:r>
        <w:rPr/>
        <w:t xml:space="preserve">Validé par le Groupe Spécialisé le 13/03/2025</w:t>
      </w:r>
    </w:p>
    <w:p>
      <w:pPr/>
      <w:r>
        <w:rPr>
          <w:b/>
          <w:bCs/>
        </w:rPr>
        <w:t xml:space="preserve">Description</w:t>
      </w:r>
    </w:p>
    <w:p>
      <w:pPr/>
      <w:r>
        <w:rPr/>
        <w:t xml:space="preserve">Définir les modalités de la mise en oeuvre (nature et positionnement des fixations avec le gros-oeuvre) en fonction des types de pose envisagés.</w:t>
      </w:r>
    </w:p>
    <w:p>
      <w:pPr/>
      <w:r>
        <w:rPr>
          <w:i/>
          <w:iCs/>
        </w:rPr>
        <w:t xml:space="preserve">NB : Se reporter au NF DTU 36.5, e-cahier CSTB 3521 et 3709_V2.</w:t>
      </w:r>
    </w:p>
    <w:p>
      <w:pPr/>
      <w:r>
        <w:rPr>
          <w:b/>
          <w:bCs/>
        </w:rPr>
        <w:t xml:space="preserve">Justification</w:t>
      </w:r>
    </w:p>
    <w:p>
      <w:pPr/>
      <w:r>
        <w:rPr/>
        <w:t xml:space="preserve">Fournir un dossier de plans illustrant les modalités de mise en oeuvre des fenêtres objet de la demande.</w:t>
      </w:r>
    </w:p>
    <w:p>
      <w:pPr/>
      <w:r>
        <w:rPr>
          <w:i/>
          <w:iCs/>
        </w:rPr>
        <w:t xml:space="preserve">NB : Une définition de la trame de ce Dossier Technique ainsi qu’un fichier informatique de situations de pose sont à disposition sur simple demande.</w:t>
      </w:r>
    </w:p>
    <w:p>
      <w:pPr>
        <w:ind w:left="720" w:right="0"/>
      </w:pPr>
      <w:r>
        <w:rPr>
          <w:rStyle w:val="font_h2"/>
        </w:rPr>
        <w:t xml:space="preserve">5.2. Système d'étanchéité</w:t>
      </w:r>
    </w:p>
    <w:p>
      <w:pPr/>
      <w:r>
        <w:rPr/>
        <w:t xml:space="preserve">Validé par le Groupe Spécialisé le 13/03/2025</w:t>
      </w:r>
    </w:p>
    <w:p>
      <w:pPr/>
      <w:r>
        <w:rPr>
          <w:b/>
          <w:bCs/>
        </w:rPr>
        <w:t xml:space="preserve">Description</w:t>
      </w:r>
    </w:p>
    <w:p>
      <w:pPr/>
      <w:r>
        <w:rPr/>
        <w:t xml:space="preserve">Définir les modalités de la mise en oeuvre (nature et positionnement du calfeutrement avec le gros-oeuvre) en fonction des types de pose envisagés.</w:t>
      </w:r>
    </w:p>
    <w:p>
      <w:pPr/>
      <w:r>
        <w:rPr>
          <w:i/>
          <w:iCs/>
        </w:rPr>
        <w:t xml:space="preserve">NB : Se reporter au NF DTU 36.5, e-cahier CSTB 3521 et 3709_V2.</w:t>
      </w:r>
    </w:p>
    <w:p>
      <w:pPr/>
      <w:r>
        <w:rPr>
          <w:b/>
          <w:bCs/>
        </w:rPr>
        <w:t xml:space="preserve">Justification</w:t>
      </w:r>
    </w:p>
    <w:p>
      <w:pPr/>
      <w:r>
        <w:rPr/>
        <w:t xml:space="preserve">Fournir les justificatifs de compatibilité.</w:t>
      </w:r>
    </w:p>
    <w:p>
      <w:pPr>
        <w:ind w:left="720" w:right="0"/>
      </w:pPr>
      <w:r>
        <w:rPr>
          <w:rStyle w:val="font_h2"/>
        </w:rPr>
        <w:t xml:space="preserve">5.3. Nettoyage</w:t>
      </w:r>
    </w:p>
    <w:p>
      <w:pPr/>
      <w:r>
        <w:rPr/>
        <w:t xml:space="preserve">Validé par le Groupe Spécialisé le 02/01/2018</w:t>
      </w:r>
    </w:p>
    <w:p>
      <w:pPr/>
      <w:r>
        <w:rPr>
          <w:b/>
          <w:bCs/>
        </w:rPr>
        <w:t xml:space="preserve">Description</w:t>
      </w:r>
    </w:p>
    <w:p>
      <w:pPr/>
      <w:r>
        <w:rPr/>
        <w:t xml:space="preserve">Fournir (si concerné) la notice d’entretien ainsi que le contrat de maintenance.</w:t>
      </w:r>
    </w:p>
    <w:p>
      <w:pPr>
        <w:ind w:left="720" w:right="0"/>
      </w:pPr>
      <w:r>
        <w:rPr>
          <w:rStyle w:val="font_h2"/>
        </w:rPr>
        <w:t xml:space="preserve">5.4. Accessibilité</w:t>
      </w:r>
    </w:p>
    <w:p>
      <w:pPr/>
      <w:r>
        <w:rPr/>
        <w:t xml:space="preserve">Validé par le Groupe Spécialisé le 07/03/2019</w:t>
      </w:r>
    </w:p>
    <w:p>
      <w:pPr/>
      <w:r>
        <w:rPr>
          <w:b/>
          <w:bCs/>
        </w:rPr>
        <w:t xml:space="preserve">Description</w:t>
      </w:r>
    </w:p>
    <w:p>
      <w:pPr/>
      <w:r>
        <w:rPr/>
        <w:t xml:space="preserve">Hauteur du seuil PMR avec une lèvre souple</w:t>
      </w:r>
    </w:p>
    <w:p>
      <w:pPr/>
      <w:r>
        <w:rPr/>
        <w:t xml:space="preserve">Le GS considère que la hauteur de 20 mm du seuil de menuiserie prévue dans l’arrêté de novembre 2007, incorpore les éventuelles parties souples présentent sur le profil formant seuil.</w:t>
      </w:r>
    </w:p>
    <w:p>
      <w:pPr/>
      <w:r>
        <w:rPr>
          <w:rStyle w:val="font_h1"/>
        </w:rPr>
        <w:t xml:space="preserve">6. Résultats expérimentaux</w:t>
      </w:r>
    </w:p>
    <w:p>
      <w:pPr/>
      <w:r>
        <w:rPr/>
        <w:t xml:space="preserve">Validé par le Groupe Spécialisé le 13/03/2025</w:t>
      </w:r>
    </w:p>
    <w:p>
      <w:pPr/>
      <w:r>
        <w:rPr>
          <w:b/>
          <w:bCs/>
        </w:rPr>
        <w:t xml:space="preserve">Description</w:t>
      </w:r>
    </w:p>
    <w:p>
      <w:pPr/>
      <w:r>
        <w:rPr/>
        <w:t xml:space="preserve">Fournir copie des rapports d’essais de toute nature, en laboratoire ou in situ, sur les constituants ou sur les fenêtres identifiés pouvant apporter justification del’aptitude à l’emploi du système évalué.</w:t>
      </w:r>
    </w:p>
    <w:p>
      <w:pPr>
        <w:pPr/>
        <w:numPr>
          <w:ilvl w:val="0"/>
          <w:numId w:val="14"/>
        </w:numPr>
      </w:pPr>
      <w:r>
        <w:rPr/>
        <w:t xml:space="preserve">Sur les constituants :</w:t>
      </w:r>
    </w:p>
    <w:p>
      <w:pPr>
        <w:pPr/>
        <w:numPr>
          <w:ilvl w:val="1"/>
          <w:numId w:val="14"/>
        </w:numPr>
      </w:pPr>
      <w:r>
        <w:rPr>
          <w:i/>
          <w:iCs/>
        </w:rPr>
        <w:t xml:space="preserve">profilés PVC (Cf NF EN 12608 + référentiel QB 59) ;</w:t>
      </w:r>
    </w:p>
    <w:p>
      <w:pPr>
        <w:pPr/>
        <w:numPr>
          <w:ilvl w:val="1"/>
          <w:numId w:val="14"/>
        </w:numPr>
      </w:pPr>
      <w:r>
        <w:rPr>
          <w:i/>
          <w:iCs/>
        </w:rPr>
        <w:t xml:space="preserve">garnitures d’étanchéité (Pour la partie active des profilés (hormis ceux en EPDM) qui assurent une fonction d’étanchéité, leur composition matière doit être conforme au référentiel de certification QB 36) ;</w:t>
      </w:r>
    </w:p>
    <w:p>
      <w:pPr>
        <w:pPr/>
        <w:numPr>
          <w:ilvl w:val="1"/>
          <w:numId w:val="14"/>
        </w:numPr>
      </w:pPr>
      <w:r>
        <w:rPr>
          <w:i/>
          <w:iCs/>
        </w:rPr>
        <w:t xml:space="preserve">accessoires, quincaillerie (Pour les pièces métalliques, fournir les justifications par écrit, sur papier à entête du fabricant, de conformité aux spécifications de résistance à la corrosion de la norme NF EN 1670 (grade 3 minimum).) ;</w:t>
      </w:r>
    </w:p>
    <w:p>
      <w:pPr>
        <w:pPr/>
        <w:numPr>
          <w:ilvl w:val="1"/>
          <w:numId w:val="14"/>
        </w:numPr>
      </w:pPr>
      <w:r>
        <w:rPr>
          <w:i/>
          <w:iCs/>
        </w:rPr>
        <w:t xml:space="preserve">vitrages (Ils doivent bénéficier d’un certificat de qualification.).</w:t>
      </w:r>
    </w:p>
    <w:p>
      <w:pPr>
        <w:pPr/>
        <w:numPr>
          <w:ilvl w:val="0"/>
          <w:numId w:val="14"/>
        </w:numPr>
      </w:pPr>
      <w:r>
        <w:rPr/>
        <w:t xml:space="preserve">Sur les fenêtres :</w:t>
      </w:r>
    </w:p>
    <w:p>
      <w:pPr>
        <w:pPr/>
        <w:numPr>
          <w:ilvl w:val="1"/>
          <w:numId w:val="14"/>
        </w:numPr>
      </w:pPr>
      <w:r>
        <w:rPr>
          <w:i/>
          <w:iCs/>
        </w:rPr>
        <w:t xml:space="preserve">fournir copie des essais AEV, mécaniques spécifiques et endurance à l’ouverture/fermeture réalisés (Cf e-cahier 3706_V2, NF EN 14351-1+A2, NF P 20-501, NF P20-302. NB : performances minimum demandées A2 E5A (ou E5B)VA2.) ;</w:t>
      </w:r>
    </w:p>
    <w:p>
      <w:pPr>
        <w:pPr/>
        <w:numPr>
          <w:ilvl w:val="1"/>
          <w:numId w:val="14"/>
        </w:numPr>
      </w:pPr>
      <w:r>
        <w:rPr>
          <w:i/>
          <w:iCs/>
        </w:rPr>
        <w:t xml:space="preserve">fournir copie des essais de perméabilité à l’air sous gradient de température (si concerné) (Cf NF DTU 36.5 P2 – Annexe A) ;</w:t>
      </w:r>
    </w:p>
    <w:p>
      <w:pPr>
        <w:pPr/>
        <w:numPr>
          <w:ilvl w:val="1"/>
          <w:numId w:val="14"/>
        </w:numPr>
      </w:pPr>
      <w:r>
        <w:rPr>
          <w:i/>
          <w:iCs/>
        </w:rPr>
        <w:t xml:space="preserve">fournir les calculs thermiques (Cf Règles Th-Bât Fascicule Parois vitrées RE2020) ;</w:t>
      </w:r>
    </w:p>
    <w:p>
      <w:pPr>
        <w:pPr/>
        <w:numPr>
          <w:ilvl w:val="1"/>
          <w:numId w:val="14"/>
        </w:numPr>
      </w:pPr>
      <w:r>
        <w:rPr>
          <w:i/>
          <w:iCs/>
        </w:rPr>
        <w:t xml:space="preserve">fournir les dispositions pour l’intégration d’entrée d’air (Cf e-cahier 3376_V3).</w:t>
      </w:r>
    </w:p>
    <w:p>
      <w:pPr/>
      <w:r>
        <w:rPr/>
        <w:t xml:space="preserve">Fournir copie de rapport d’essais sur produit de calfeutrement ayant fait l’objet d’essais satisfaisants de compatibilité – cohésion/adhésion sur les profilés etaccessoires en contact </w:t>
      </w:r>
      <w:r>
        <w:rPr>
          <w:i/>
          <w:iCs/>
        </w:rPr>
        <w:t xml:space="preserve">(CF NF P 85-504 ou NF EN ISO 8339).</w:t>
      </w:r>
    </w:p>
    <w:p>
      <w:pPr/>
      <w:r>
        <w:rPr/>
        <w:t xml:space="preserve">Établir le lien avec ATEc et/ou DTA déjà délivrés au bénéfice du demandeur.</w:t>
      </w:r>
    </w:p>
    <w:p>
      <w:pPr/>
      <w:r>
        <w:rPr/>
        <w:t xml:space="preserve">Présenter les évolutions du système depuis sa création.</w:t>
      </w:r>
    </w:p>
    <w:p>
      <w:pPr/>
      <w:r>
        <w:rPr/>
        <w:t xml:space="preserve">Préciser si le système fait (ou fera) l’objet d’une fabrication certifiée au titre du référentiel NF 220.</w:t>
      </w:r>
    </w:p>
    <w:p>
      <w:pPr/>
      <w:r>
        <w:rPr>
          <w:rStyle w:val="font_h1"/>
        </w:rPr>
        <w:t xml:space="preserve">7. Références de chantier</w:t>
      </w:r>
    </w:p>
    <w:p>
      <w:pPr/>
      <w:r>
        <w:rPr/>
        <w:t xml:space="preserve">Validé par le Groupe Spécialisé le 02/01/2018</w:t>
      </w:r>
    </w:p>
    <w:p>
      <w:pPr/>
      <w:r>
        <w:rPr>
          <w:b/>
          <w:bCs/>
        </w:rPr>
        <w:t xml:space="preserve">Description</w:t>
      </w:r>
    </w:p>
    <w:p>
      <w:pPr/>
      <w:r>
        <w:rPr/>
        <w:t xml:space="preserve">Lister les chantiers de références avec date de fabrication :</w:t>
      </w:r>
    </w:p>
    <w:p>
      <w:pPr>
        <w:pPr/>
        <w:numPr>
          <w:ilvl w:val="0"/>
          <w:numId w:val="15"/>
        </w:numPr>
      </w:pPr>
      <w:r>
        <w:rPr/>
        <w:t xml:space="preserve">localiser et préciser les situations de pose ;</w:t>
      </w:r>
    </w:p>
    <w:p>
      <w:pPr>
        <w:pPr/>
        <w:numPr>
          <w:ilvl w:val="0"/>
          <w:numId w:val="15"/>
        </w:numPr>
      </w:pPr>
      <w:r>
        <w:rPr/>
        <w:t xml:space="preserve">identifier les types de menuiseries ;</w:t>
      </w:r>
    </w:p>
    <w:p>
      <w:pPr>
        <w:pPr/>
        <w:numPr>
          <w:ilvl w:val="0"/>
          <w:numId w:val="15"/>
        </w:numPr>
      </w:pPr>
      <w:r>
        <w:rPr/>
        <w:t xml:space="preserve">préciser les contacts susceptibles d’assister une visite chantier.</w:t>
      </w:r>
    </w:p>
    <w:p>
      <w:pPr/>
      <w:r>
        <w:rPr>
          <w:rStyle w:val="font_h1"/>
        </w:rPr>
        <w:t xml:space="preserve">8. Jurisprudences</w:t>
      </w:r>
    </w:p>
    <w:p>
      <w:pPr>
        <w:ind w:left="720" w:right="0"/>
      </w:pPr>
      <w:r>
        <w:rPr>
          <w:rStyle w:val="font_h2"/>
        </w:rPr>
        <w:t xml:space="preserve">8.1. 2017 (03) Position du GS pour les systèmes de « panneaux de remplissage »</w:t>
      </w:r>
    </w:p>
    <w:p>
      <w:pPr/>
      <w:r>
        <w:rPr/>
        <w:t xml:space="preserve">Validé par le Groupe Spécialisé le 02/01/2018</w:t>
      </w:r>
    </w:p>
    <w:p>
      <w:pPr/>
      <w:r>
        <w:rPr>
          <w:b/>
          <w:bCs/>
        </w:rPr>
        <w:t xml:space="preserve">Description</w:t>
      </w:r>
    </w:p>
    <w:p>
      <w:pPr/>
      <w:r>
        <w:rPr/>
        <w:t xml:space="preserve">Le Groupe Spécialisé n°6 confirme la nécessité d’une identification visuelle pour chaque panneau conforme à l’Avis technique.Cette identification doit inclure la référence à l’Avis technique (via le logo de la CCFAT).</w:t>
      </w:r>
    </w:p>
    <w:p>
      <w:pPr>
        <w:ind w:left="720" w:right="0"/>
      </w:pPr>
      <w:r>
        <w:rPr>
          <w:rStyle w:val="font_h2"/>
        </w:rPr>
        <w:t xml:space="preserve">8.2. 2017 (06) Position du GS pour les travaux de rénovations sur dormants existants</w:t>
      </w:r>
    </w:p>
    <w:p>
      <w:pPr/>
      <w:r>
        <w:rPr/>
        <w:t xml:space="preserve">Validé par le Groupe Spécialisé le 28/09/2017</w:t>
      </w:r>
    </w:p>
    <w:p>
      <w:pPr/>
      <w:r>
        <w:rPr>
          <w:b/>
          <w:bCs/>
        </w:rPr>
        <w:t xml:space="preserve">Description</w:t>
      </w:r>
    </w:p>
    <w:p>
      <w:pPr/>
      <w:r>
        <w:rPr/>
        <w:t xml:space="preserve">Le GS est très réservé sur les possibilités de rénovation avec conservation d’anciens dormants PVC ou aluminium, pour les raisons suivantes :</w:t>
      </w:r>
    </w:p>
    <w:p>
      <w:pPr>
        <w:pPr/>
        <w:numPr>
          <w:ilvl w:val="0"/>
          <w:numId w:val="16"/>
        </w:numPr>
      </w:pPr>
      <w:r>
        <w:rPr/>
        <w:t xml:space="preserve">difficulté de connaitre vraiment l’état des pattes de fixation,</w:t>
      </w:r>
    </w:p>
    <w:p>
      <w:pPr>
        <w:pPr/>
        <w:numPr>
          <w:ilvl w:val="0"/>
          <w:numId w:val="16"/>
        </w:numPr>
      </w:pPr>
      <w:r>
        <w:rPr/>
        <w:t xml:space="preserve">solution thermiquement très difficile à réaliser correctement vis-à-vis de la liaison entre le nouveau et l’ancien dormant,</w:t>
      </w:r>
    </w:p>
    <w:p>
      <w:pPr>
        <w:pPr/>
        <w:numPr>
          <w:ilvl w:val="0"/>
          <w:numId w:val="16"/>
        </w:numPr>
      </w:pPr>
      <w:r>
        <w:rPr/>
        <w:t xml:space="preserve">connaissance très difficile des matières PVC des anciens dormants et de leur état de conservation,</w:t>
      </w:r>
    </w:p>
    <w:p>
      <w:pPr>
        <w:pPr/>
        <w:numPr>
          <w:ilvl w:val="0"/>
          <w:numId w:val="16"/>
        </w:numPr>
      </w:pPr>
      <w:r>
        <w:rPr/>
        <w:t xml:space="preserve">compatibilité de ces matières avec les mastics de calfeutrement à utiliser,</w:t>
      </w:r>
    </w:p>
    <w:p>
      <w:pPr>
        <w:pPr/>
        <w:numPr>
          <w:ilvl w:val="0"/>
          <w:numId w:val="16"/>
        </w:numPr>
      </w:pPr>
      <w:r>
        <w:rPr/>
        <w:t xml:space="preserve">difficulté pour conserver le clair de vitrage.</w:t>
      </w:r>
    </w:p>
    <w:p>
      <w:pPr>
        <w:ind w:left="720" w:right="0"/>
      </w:pPr>
      <w:r>
        <w:rPr>
          <w:rStyle w:val="font_h2"/>
        </w:rPr>
        <w:t xml:space="preserve">8.3. 2017 (10) Recouvrement minimum en cas de pose ITE</w:t>
      </w:r>
    </w:p>
    <w:p>
      <w:pPr/>
      <w:r>
        <w:rPr/>
        <w:t xml:space="preserve">Validé par le Groupe Spécialisé le 02/01/2018</w:t>
      </w:r>
    </w:p>
    <w:p>
      <w:pPr/>
      <w:r>
        <w:rPr>
          <w:b/>
          <w:bCs/>
        </w:rPr>
        <w:t xml:space="preserve">Description</w:t>
      </w:r>
    </w:p>
    <w:p>
      <w:pPr/>
      <w:r>
        <w:rPr/>
        <w:t xml:space="preserve">Dans le cas d'une pose de fenêtres en applique extérieure avec une ITE, la largeur disponible sur le dormant en vis-à-vis du gros œuvre doit être au minimum de 28 mm. Il conviendra de vérifier que les dormants et autres fourrures d’épaisseurs permettent de satisfaire cette exigence.</w:t>
      </w:r>
    </w:p>
    <w:p>
      <w:pPr>
        <w:ind w:left="720" w:right="0"/>
      </w:pPr>
      <w:r>
        <w:rPr>
          <w:rStyle w:val="font_h2"/>
        </w:rPr>
        <w:t xml:space="preserve">8.4. 2017 (12) Opportunité de suivi de la qualité en usine des seuils PMR</w:t>
      </w:r>
    </w:p>
    <w:p>
      <w:pPr/>
      <w:r>
        <w:rPr/>
        <w:t xml:space="preserve">Validé par le Groupe Spécialisé le 02/01/2018</w:t>
      </w:r>
    </w:p>
    <w:p>
      <w:pPr/>
      <w:r>
        <w:rPr>
          <w:b/>
          <w:bCs/>
        </w:rPr>
        <w:t xml:space="preserve">Description</w:t>
      </w:r>
    </w:p>
    <w:p>
      <w:pPr/>
      <w:r>
        <w:rPr/>
        <w:t xml:space="preserve">Le GS6 se prononce favorablement quant à un suivi de la qualité en usine des seuils PMR mixtes (hors seuil aluminium RPT, qui font déjà l'objet d'un suivi dans le cadre de la marque NF 252).Le CSTB proposera des modalités de suivi et les critères d'acceptation des caractéristiques suivies devront être débattus en GS6.</w:t>
      </w:r>
    </w:p>
    <w:p>
      <w:pPr>
        <w:ind w:left="720" w:right="0"/>
      </w:pPr>
      <w:r>
        <w:rPr>
          <w:rStyle w:val="font_h2"/>
        </w:rPr>
        <w:t xml:space="preserve">8.5. 2017 (12) Risques sismiques</w:t>
      </w:r>
    </w:p>
    <w:p>
      <w:pPr/>
      <w:r>
        <w:rPr/>
        <w:t xml:space="preserve">Validé par le Groupe Spécialisé le 02/01/2018</w:t>
      </w:r>
    </w:p>
    <w:p>
      <w:pPr/>
      <w:r>
        <w:rPr>
          <w:b/>
          <w:bCs/>
        </w:rPr>
        <w:t xml:space="preserve">Description</w:t>
      </w:r>
    </w:p>
    <w:p>
      <w:pPr/>
      <w:r>
        <w:rPr/>
        <w:t xml:space="preserve">La phrase suivante sera ajoutée aux DTA :</w:t>
      </w:r>
    </w:p>
    <w:p>
      <w:pPr/>
      <w:r>
        <w:rPr/>
        <w:t xml:space="preserve">"Le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8.6. 2017 (12) Mise en œuvre ITE</w:t>
      </w:r>
    </w:p>
    <w:p>
      <w:pPr/>
      <w:r>
        <w:rPr/>
        <w:t xml:space="preserve">Validé par le Groupe Spécialisé le 02/01/2018</w:t>
      </w:r>
    </w:p>
    <w:p>
      <w:pPr/>
      <w:r>
        <w:rPr>
          <w:b/>
          <w:bCs/>
        </w:rPr>
        <w:t xml:space="preserve">Description</w:t>
      </w:r>
    </w:p>
    <w:p>
      <w:pPr/>
      <w:r>
        <w:rPr/>
        <w:t xml:space="preserve">Il sera précisé sur les schémas de mise en œuvre ITE que l'ETICS devra être conforme au guide de préconisation "Protection contre l’incendie des façades béton ou maçonnerie revêtues de systèmes d’isolation thermique extérieure par enduit sur polystyrène expansé (ETICS-PSE)" d'avril 2016.</w:t>
      </w:r>
    </w:p>
    <w:p>
      <w:pPr>
        <w:ind w:left="720" w:right="0"/>
      </w:pPr>
      <w:r>
        <w:rPr>
          <w:rStyle w:val="font_h2"/>
        </w:rPr>
        <w:t xml:space="preserve">8.7. 2018 (03) RUP et TOM</w:t>
      </w:r>
    </w:p>
    <w:p>
      <w:pPr/>
      <w:r>
        <w:rPr/>
        <w:t xml:space="preserve">Validé par le Groupe Spécialisé le 15/03/2018</w:t>
      </w:r>
    </w:p>
    <w:p>
      <w:pPr/>
      <w:r>
        <w:rPr>
          <w:b/>
          <w:bCs/>
        </w:rPr>
        <w:t xml:space="preserve">Description</w:t>
      </w:r>
    </w:p>
    <w:p>
      <w:pPr/>
      <w:r>
        <w:rPr/>
        <w:t xml:space="preserve">Le GS rappelle que pour se prévaloir du domaine d’emploi dans les RUP et PTOM, il faut que la durabilité de la matière PVC ou de son revêtement (cas du plaxage ou de la laque) soit justifiée par des résultats d’essais satisfaisants en vieillissement artificiel après 6000H au WOM climat M méthode A cycle 1 de la NF EN 4892.</w:t>
      </w:r>
    </w:p>
    <w:p>
      <w:pPr>
        <w:ind w:left="720" w:right="0"/>
      </w:pPr>
      <w:r>
        <w:rPr>
          <w:rStyle w:val="font_h2"/>
        </w:rPr>
        <w:t xml:space="preserve">8.8. 2018 (03) Risques de propagation du feu par la façade dans le cas des fenêtres  mise en œuvre en applique extérieure</w:t>
      </w:r>
    </w:p>
    <w:p>
      <w:pPr/>
      <w:r>
        <w:rPr/>
        <w:t xml:space="preserve">Validé par le Groupe Spécialisé le 15/03/2018</w:t>
      </w:r>
    </w:p>
    <w:p>
      <w:pPr/>
      <w:r>
        <w:rPr>
          <w:b/>
          <w:bCs/>
        </w:rPr>
        <w:t xml:space="preserve">Description</w:t>
      </w:r>
    </w:p>
    <w:p>
      <w:pPr/>
      <w:r>
        <w:rPr/>
        <w:t xml:space="preserve">Dans le cas de mise en œuvre en applique extérieure, le domaine d’emploi exclura les ouvrages prévus dans les préconisations des guides « Protection contre l’incendie des façades béton ou maçonnerie revêtues de systèmes d’isolation thermique extérieure par enduit sur polystyrène expansé (ETICS-PSE) – avril 2016 » et « Protection contre l’incendie des façades béton ou maçonnerie revêtues de systèmes d’isolation thermique extérieure par bardage rapporté ventilé – Septembre 2017». Cette limitation du domaine d’emploi pourra être levée si le système de fenêtre bénéficie d’un Avis de Laboratoire explicitant clairement les conditions d’emploi ou si les préconisations des guides évoluent afin de prendre en compte la mise en œuvre en applique extérieure des fenêtres.</w:t>
      </w:r>
    </w:p>
    <w:p>
      <w:pPr>
        <w:ind w:left="720" w:right="0"/>
      </w:pPr>
      <w:r>
        <w:rPr>
          <w:rStyle w:val="font_h2"/>
        </w:rPr>
        <w:t xml:space="preserve">8.9. 2018 (04) Dimensions des calfeutrements</w:t>
      </w:r>
    </w:p>
    <w:p>
      <w:pPr/>
      <w:r>
        <w:rPr/>
        <w:t xml:space="preserve">Validé par le Groupe Spécialisé le 25/04/2018</w:t>
      </w:r>
    </w:p>
    <w:p>
      <w:pPr/>
      <w:r>
        <w:rPr>
          <w:b/>
          <w:bCs/>
        </w:rPr>
        <w:t xml:space="preserve">Description</w:t>
      </w:r>
    </w:p>
    <w:p>
      <w:pPr/>
      <w:r>
        <w:rPr/>
        <w:t xml:space="preserve">Modification de la jurisprudence de 2013 (06).En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Une dimension inférieure, même avec limitation du domaine d’emploi n’est pas acceptable, car peu réaliste vis-à-vis des conditions de chantier. Cette jurisprudence s’appliquera pour les nouveaux DTA.Il conviendra de publier les plans de mise en œuvre dans le cas suivant :</w:t>
      </w:r>
    </w:p>
    <w:p>
      <w:pPr>
        <w:pPr/>
        <w:numPr>
          <w:ilvl w:val="0"/>
          <w:numId w:val="17"/>
        </w:numPr>
      </w:pPr>
      <w:r>
        <w:rPr/>
        <w:t xml:space="preserve">Un profilé complémentaire est nécessaire afin de réaliser une zone de calfeutrement d'au moins 10 mm</w:t>
      </w:r>
    </w:p>
    <w:p>
      <w:pPr>
        <w:ind w:left="720" w:right="0"/>
      </w:pPr>
      <w:r>
        <w:rPr>
          <w:rStyle w:val="font_h2"/>
        </w:rPr>
        <w:t xml:space="preserve">8.10. 2018 (10) Garnitures d’étanchéité</w:t>
      </w:r>
    </w:p>
    <w:p>
      <w:pPr/>
      <w:r>
        <w:rPr/>
        <w:t xml:space="preserve">Validé par le Groupe Spécialisé le 13/12/2018</w:t>
      </w:r>
    </w:p>
    <w:p>
      <w:pPr/>
      <w:r>
        <w:rPr>
          <w:b/>
          <w:bCs/>
        </w:rPr>
        <w:t xml:space="preserve">Description</w:t>
      </w:r>
    </w:p>
    <w:p>
      <w:pPr/>
      <w:r>
        <w:rPr/>
        <w:t xml:space="preserve">Pour toutes les gammes, existantes ou nouvelles, les tolérances n’apparaîtront pas dans le DTA publié. Dans le cas où le recouvrement de l’ouvrant ou du dormant par la garniture du plan d'étanchéité principal est inférieur à 5 mm, il conviendra de fournir des justifications complémentaires (ex. : essai d’étanchéité à l’eau sans tout ou partie de la garniture du plan principal d’étanchéité).</w:t>
      </w:r>
    </w:p>
    <w:p>
      <w:pPr>
        <w:ind w:left="720" w:right="0"/>
      </w:pPr>
      <w:r>
        <w:rPr>
          <w:rStyle w:val="font_h2"/>
        </w:rPr>
        <w:t xml:space="preserve">8.11. 2018 (10) Système respirant</w:t>
      </w:r>
    </w:p>
    <w:p>
      <w:pPr/>
      <w:r>
        <w:rPr/>
        <w:t xml:space="preserve">Validé par le Groupe Spécialisé le 13/12/2018</w:t>
      </w:r>
    </w:p>
    <w:p>
      <w:pPr/>
      <w:r>
        <w:rPr>
          <w:b/>
          <w:bCs/>
        </w:rPr>
        <w:t xml:space="preserve">Description</w:t>
      </w:r>
    </w:p>
    <w:p>
      <w:pPr/>
      <w:r>
        <w:rPr/>
        <w:t xml:space="preserve">Dans le cas des systèmes respirants, les prescriptions techniques devront présenter un paragraphe limitant l’utilisation du système à une masse de vantail maximum.</w:t>
      </w:r>
    </w:p>
    <w:p>
      <w:pPr>
        <w:ind w:left="720" w:right="0"/>
      </w:pPr>
      <w:r>
        <w:rPr>
          <w:rStyle w:val="font_h2"/>
        </w:rPr>
        <w:t xml:space="preserve">8.12. 2018 (10) Conditions de mise en œuvre</w:t>
      </w:r>
    </w:p>
    <w:p>
      <w:pPr/>
      <w:r>
        <w:rPr/>
        <w:t xml:space="preserve">Validé par le Groupe Spécialisé le 13/12/2018</w:t>
      </w:r>
    </w:p>
    <w:p>
      <w:pPr/>
      <w:r>
        <w:rPr>
          <w:b/>
          <w:bCs/>
        </w:rPr>
        <w:t xml:space="preserve">Description</w:t>
      </w:r>
    </w:p>
    <w:p>
      <w:pPr/>
      <w:r>
        <w:rPr/>
        <w:t xml:space="preserve">Dans le paragraphe « conditions de mise en œuvre », le nouveau texte type devient :« Certaines configurations de fenêtres oscillo-battantes ou à soufflet (dimensions, poids de vitrages, positionnement poignée, …) peuvent conduire à un effort d’amorçage de fermeture de la position soufflet du vantail supérieure à 100N. » (Suppression de « sauf dispositions particulières »).</w:t>
      </w:r>
    </w:p>
    <w:p>
      <w:pPr>
        <w:ind w:left="720" w:right="0"/>
      </w:pPr>
      <w:r>
        <w:rPr>
          <w:rStyle w:val="font_h2"/>
        </w:rPr>
        <w:t xml:space="preserve">8.13.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8.14.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8.15. 2019 (04) Conditions de dérogations du FD DTU 39 P5</w:t>
      </w:r>
    </w:p>
    <w:p>
      <w:pPr/>
      <w:r>
        <w:rPr/>
        <w:t xml:space="preserve">Validé par le Groupe Spécialisé le 11/04/2019</w:t>
      </w:r>
    </w:p>
    <w:p>
      <w:pPr/>
      <w:r>
        <w:rPr>
          <w:b/>
          <w:bCs/>
        </w:rPr>
        <w:t xml:space="preserve">Description</w:t>
      </w:r>
    </w:p>
    <w:p>
      <w:pPr/>
      <w:r>
        <w:rPr/>
        <w:t xml:space="preserve">Conditions de dérogations possibles au tableau 1 du FD DTU 39 P5 pour la hauteur minimale de prise en feuillure de 15 mm sur seulement 3 côtés.</w:t>
      </w:r>
    </w:p>
    <w:p>
      <w:pPr/>
      <w:r>
        <w:rPr/>
        <w:t xml:space="preserve">Il pourra être utilisé le principe du tableau 1 du FP DTU 39 P5, pour des fenêtres comportant une traverse intermédiaire avec une prise en feuillure inférieure à 15 mm si des essais satisfaisants ont été menés dans le cadre de l’instruction de la demande de DTA du système de fenêtre.</w:t>
      </w:r>
    </w:p>
    <w:p>
      <w:pPr>
        <w:ind w:left="720" w:right="0"/>
      </w:pPr>
      <w:r>
        <w:rPr>
          <w:rStyle w:val="font_h2"/>
        </w:rPr>
        <w:t xml:space="preserve">8.16. 2019 (10) Largeur de passage des portes-fenêtres 1 vantail équipées d’un dispositif PMR</w:t>
      </w:r>
    </w:p>
    <w:p>
      <w:pPr/>
      <w:r>
        <w:rPr/>
        <w:t xml:space="preserve">Validé par le Groupe Spécialisé le 17/10/2019</w:t>
      </w:r>
    </w:p>
    <w:p>
      <w:pPr/>
      <w:r>
        <w:rPr>
          <w:b/>
          <w:bCs/>
        </w:rPr>
        <w:t xml:space="preserve">Description</w:t>
      </w:r>
    </w:p>
    <w:p>
      <w:pPr/>
      <w:r>
        <w:rPr/>
        <w:t xml:space="preserve">Afin d’être cohérent avec la réglementation concernant l’accès des handicapés aux balcons, terrasses et loggias, la largeur maximale (tableau) passe de 0,80m à 1,00m pour les systèmes de fenêtres PVC à 1 vantail.</w:t>
      </w:r>
    </w:p>
    <w:p>
      <w:pPr>
        <w:ind w:left="720" w:right="0"/>
      </w:pPr>
      <w:r>
        <w:rPr>
          <w:rStyle w:val="font_h2"/>
        </w:rPr>
        <w:t xml:space="preserve">8.17. 2020 (02) Prise en feuillure du vitrage pour assurer la sécurité aux chutes des personnes</w:t>
      </w:r>
    </w:p>
    <w:p>
      <w:pPr/>
      <w:r>
        <w:rPr/>
        <w:t xml:space="preserve">Validé par le Groupe Spécialisé le 25/06/2020</w:t>
      </w:r>
    </w:p>
    <w:p>
      <w:pPr/>
      <w:r>
        <w:rPr>
          <w:b/>
          <w:bCs/>
        </w:rPr>
        <w:t xml:space="preserve">Description</w:t>
      </w:r>
    </w:p>
    <w:p>
      <w:pPr/>
      <w:r>
        <w:rPr/>
        <w:t xml:space="preserve">Après analyse de l’évolution du DTU 39 P5 en séance, le GS6 conserve la jurisprudence de juin 2015 concernant la sécurité aux chutes des personnes nommée ci-après :« 2015 (06) Prise en feuillure des vitrages intervenant dans la sécurité aux chutes des personnes »Lorsque les feuillures d’ouvrant ou dormant ne répondent pas aux exigences du DTU 39 P5 § 4.2.3 , la remarque suivante, sera ajoutée au § 2.1 Domaine d’emploi accepté de la partie Avis du DTA : « Le système tel que décrit dans le Dossier Technique ne répond pas aux exigences du DTU 39 P5 § 4.2.3, vis-à-vis de la sécurité aux chutes des personnes. ».</w:t>
      </w:r>
    </w:p>
    <w:p>
      <w:pPr>
        <w:ind w:left="720" w:right="0"/>
      </w:pPr>
      <w:r>
        <w:rPr>
          <w:rStyle w:val="font_h2"/>
        </w:rPr>
        <w:t xml:space="preserve">8.18. 2020 (02) Système ne disposant pas de solution d’entrée d’air</w:t>
      </w:r>
    </w:p>
    <w:p>
      <w:pPr/>
      <w:r>
        <w:rPr/>
        <w:t xml:space="preserve">Validé par le Groupe Spécialisé le 25/06/2020</w:t>
      </w:r>
    </w:p>
    <w:p>
      <w:pPr/>
      <w:r>
        <w:rPr>
          <w:b/>
          <w:bCs/>
        </w:rPr>
        <w:t xml:space="preserve">Description</w:t>
      </w:r>
    </w:p>
    <w:p>
      <w:pPr/>
      <w:r>
        <w:rPr/>
        <w:t xml:space="preserve">Lorsque le système ne dispose pas de solution d’entrée d’air, il devra être indiqué dans le paragraphe domaine d’emploi de la partie Avis et dans les remarques complémentaires du GS la phrase suivante : « Les pièces principales d’habitation et d’hébergement doivent être munies d’entrées d’air ou d’un dispositif de ventilation double flux pour que les fenêtres et portes-fenêtres puissent y être installées ».</w:t>
      </w:r>
    </w:p>
    <w:p>
      <w:pPr>
        <w:ind w:left="720" w:right="0"/>
      </w:pPr>
      <w:r>
        <w:rPr>
          <w:rStyle w:val="font_h2"/>
        </w:rPr>
        <w:t xml:space="preserve">8.19. 2020 (02) Présentation des premières conclusions du groupe de travail sur la simplification des DTA</w:t>
      </w:r>
    </w:p>
    <w:p>
      <w:pPr/>
      <w:r>
        <w:rPr/>
        <w:t xml:space="preserve">Validé par le Groupe Spécialisé le 25/06/2020</w:t>
      </w:r>
    </w:p>
    <w:p>
      <w:pPr/>
      <w:r>
        <w:rPr>
          <w:b/>
          <w:bCs/>
        </w:rPr>
        <w:t xml:space="preserve">Description</w:t>
      </w:r>
    </w:p>
    <w:p>
      <w:pPr/>
      <w:r>
        <w:rPr/>
        <w:t xml:space="preserve">Performances thermo-optiques : validé par le GS. </w:t>
      </w:r>
    </w:p>
    <w:p>
      <w:pPr>
        <w:pPr/>
        <w:numPr>
          <w:ilvl w:val="0"/>
          <w:numId w:val="18"/>
        </w:numPr>
      </w:pPr>
      <w:r>
        <w:rPr/>
        <w:t xml:space="preserve">Suppression des paragraphes a) à d2) remplacés par la phrase : « Les performances thermo-optiques du système ont fait l’objet d’une évaluation notament au regard de la RT existante à partir des calculs thermiques cités au paragraphe B Résultats expérimentaux. ».</w:t>
      </w:r>
    </w:p>
    <w:p>
      <w:pPr>
        <w:pPr/>
        <w:numPr>
          <w:ilvl w:val="0"/>
          <w:numId w:val="18"/>
        </w:numPr>
      </w:pPr>
      <w:r>
        <w:rPr/>
        <w:t xml:space="preserve">Suppression des tableaux thermiques renvoyés vers le rapport de calculs thermiques attestés conformes au DTA, cité au paragraphe B Résultats expérimentaux.</w:t>
      </w:r>
    </w:p>
    <w:p>
      <w:pPr>
        <w:pPr/>
        <w:numPr>
          <w:ilvl w:val="0"/>
          <w:numId w:val="18"/>
        </w:numPr>
      </w:pPr>
      <w:r>
        <w:rPr/>
        <w:t xml:space="preserve">Le rapport de calculs thermiques cité au paragraphe B Résultats expérimentaux devra obligatoirement contenir au minimum les mêmes configurations que celles demandées actuellement dans le DTA.</w:t>
      </w:r>
    </w:p>
    <w:p>
      <w:pPr>
        <w:pPr/>
        <w:numPr>
          <w:ilvl w:val="0"/>
          <w:numId w:val="18"/>
        </w:numPr>
      </w:pPr>
      <w:r>
        <w:rPr/>
        <w:t xml:space="preserve">Conformément à la présentation qui en avait été faite en séance, la simplification des performances thermo-optiques ne concerne pas les DTA des fenêtres de toit.</w:t>
      </w:r>
    </w:p>
    <w:p>
      <w:pPr/>
      <w:r>
        <w:rPr/>
        <w:t xml:space="preserve">Mises en œuvre (MEO) : le GS valide le fait de ne publier que les MEO qui sont hors NF DTU 36.5 et hors cahier 3709_V2.</w:t>
      </w:r>
    </w:p>
    <w:p>
      <w:pPr/>
      <w:r>
        <w:rPr/>
        <w:t xml:space="preserve">Simplification des informations des composants : seules les dispositions suivantes ont été validées :</w:t>
      </w:r>
    </w:p>
    <w:p>
      <w:pPr>
        <w:pPr/>
        <w:numPr>
          <w:ilvl w:val="0"/>
          <w:numId w:val="19"/>
        </w:numPr>
      </w:pPr>
      <w:r>
        <w:rPr/>
        <w:t xml:space="preserve">Profilés PVC : suppression du lieu d’extrusion dans le cas des profilés NF126 ;</w:t>
      </w:r>
    </w:p>
    <w:p>
      <w:pPr>
        <w:pPr/>
        <w:numPr>
          <w:ilvl w:val="0"/>
          <w:numId w:val="19"/>
        </w:numPr>
      </w:pPr>
      <w:r>
        <w:rPr/>
        <w:t xml:space="preserve">Profilés aluminium RPT : dans le cas des profilés QB49 suppression du lieu d’extrusion des demi-coquilles, de sertissage et du fournisseur de barrettes.</w:t>
      </w:r>
    </w:p>
    <w:p>
      <w:pPr/>
      <w:r>
        <w:rPr/>
        <w:t xml:space="preserve">Demande de création d’une prestation pour évolutions mineures : validée par le GS, cette prestation concernera uniquement la liste exhaustive des éléments indiqués sur la liste fournie en annexe. Cette nouvelle prestation fera l’objet d’une demande de validation auprès de la CCFAT.</w:t>
      </w:r>
    </w:p>
    <w:p>
      <w:pPr>
        <w:ind w:left="720" w:right="0"/>
      </w:pPr>
      <w:r>
        <w:rPr>
          <w:rStyle w:val="font_h2"/>
        </w:rPr>
        <w:t xml:space="preserve">8.20.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20"/>
        </w:numPr>
      </w:pPr>
      <w:r>
        <w:rPr/>
        <w:t xml:space="preserve">la pièce 3D soit géométriquement identique à la pièce finale,</w:t>
      </w:r>
    </w:p>
    <w:p>
      <w:pPr>
        <w:pPr/>
        <w:numPr>
          <w:ilvl w:val="0"/>
          <w:numId w:val="20"/>
        </w:numPr>
      </w:pPr>
      <w:r>
        <w:rPr/>
        <w:t xml:space="preserve">une date de mise à disposition de la pièce finale soit arrêtée,</w:t>
      </w:r>
    </w:p>
    <w:p>
      <w:pPr>
        <w:pPr/>
        <w:numPr>
          <w:ilvl w:val="0"/>
          <w:numId w:val="20"/>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8.21. 2020 (09) Présentation des résultats d’étude thermique</w:t>
      </w:r>
    </w:p>
    <w:p>
      <w:pPr/>
      <w:r>
        <w:rPr/>
        <w:t xml:space="preserve">Validé par le Groupe Spécialisé le 29/10/2020</w:t>
      </w:r>
    </w:p>
    <w:p>
      <w:pPr/>
      <w:r>
        <w:rPr>
          <w:b/>
          <w:bCs/>
        </w:rPr>
        <w:t xml:space="preserve">Description</w:t>
      </w:r>
    </w:p>
    <w:p>
      <w:pPr/>
      <w:r>
        <w:rPr/>
        <w:t xml:space="preserve">Le tableau des valeurs thermique des Uw sera présenté au GS6 lors de la présentation du dossier mais ne sera pas publié (présent dans le rapport d’étude thermique du demandeur).</w:t>
      </w:r>
    </w:p>
    <w:p>
      <w:pPr>
        <w:ind w:left="720" w:right="0"/>
      </w:pPr>
      <w:r>
        <w:rPr>
          <w:rStyle w:val="font_h2"/>
        </w:rPr>
        <w:t xml:space="preserve">8.22. 2020 (09) Position sur les recouvrements minimums des garnitures centrales d'étanchéité</w:t>
      </w:r>
    </w:p>
    <w:p>
      <w:pPr/>
      <w:r>
        <w:rPr/>
        <w:t xml:space="preserve">Validé par le Groupe Spécialisé le 29/10/2020</w:t>
      </w:r>
    </w:p>
    <w:p>
      <w:pPr/>
      <w:r>
        <w:rPr>
          <w:b/>
          <w:bCs/>
        </w:rPr>
        <w:t xml:space="preserve">Description</w:t>
      </w:r>
    </w:p>
    <w:p>
      <w:pPr/>
      <w:r>
        <w:rPr/>
        <w:t xml:space="preserve">Le demandeur d’un système à garniture de joint central devra dorénavant justifier et garantir la présence d’une garniture de joint central ayant un recouvrement d’au moins 3 mm couplé à une garniture de joint de frappe intérieur avec un recouvrement effectif d’au moins 5 mm sur toute la périphérie.Cette jurisprudence sera appliquée pour les nouveaux dossiers à partir du 1er janvier 2022 et pour les révisions à partir du 1er janvier 2023.</w:t>
      </w:r>
    </w:p>
    <w:p>
      <w:pPr>
        <w:ind w:left="720" w:right="0"/>
      </w:pPr>
      <w:r>
        <w:rPr>
          <w:rStyle w:val="font_h2"/>
        </w:rPr>
        <w:t xml:space="preserve">8.23. 2020 (10) Fenêtres respirantes</w:t>
      </w:r>
    </w:p>
    <w:p>
      <w:pPr/>
      <w:r>
        <w:rPr/>
        <w:t xml:space="preserve">Validé par le Groupe Spécialisé le 10/12/2020</w:t>
      </w:r>
    </w:p>
    <w:p>
      <w:pPr/>
      <w:r>
        <w:rPr>
          <w:b/>
          <w:bCs/>
        </w:rPr>
        <w:t xml:space="preserve">Description</w:t>
      </w:r>
    </w:p>
    <w:p>
      <w:pPr/>
      <w:r>
        <w:rPr/>
        <w:t xml:space="preserve">Dans le paragraphe "références de chantier", le GS 06 demande que soit indiqué uniquement les références de chantier dont les fenêtres ont bénéficié d’un suivi lors de leur fabrication (" suivi fenêtre respirante »). Si cela n'est pas possible, il sera indiqué : "Le demandeur déclare n'avoir réalisé aucun chantier avec ce système depuis au moins 2 ans".</w:t>
      </w:r>
    </w:p>
    <w:p>
      <w:pPr>
        <w:ind w:left="720" w:right="0"/>
      </w:pPr>
      <w:r>
        <w:rPr>
          <w:rStyle w:val="font_h2"/>
        </w:rPr>
        <w:t xml:space="preserve">8.24. 2020 (10) Mise en œuvre en applique extérieure avec ITE</w:t>
      </w:r>
    </w:p>
    <w:p>
      <w:pPr/>
      <w:r>
        <w:rPr/>
        <w:t xml:space="preserve">Validé par le Groupe Spécialisé le 10/12/2020</w:t>
      </w:r>
    </w:p>
    <w:p>
      <w:pPr/>
      <w:r>
        <w:rPr>
          <w:b/>
          <w:bCs/>
        </w:rPr>
        <w:t xml:space="preserve">Description</w:t>
      </w:r>
    </w:p>
    <w:p>
      <w:pPr/>
      <w:r>
        <w:rPr/>
        <w:t xml:space="preserve">Le guide « Protection contre l’incendie des façades béton ou maçonnerie revêtues de systèmes d’isolation thermique extérieure par enduit sur polystyrène expansé (ETICS-PSE) » vient d'être mis à jour en septembre 2020. Il prévoit désormais les fenêtres mises en œuvre en applique extérieure.Dans le cas d’un domaine d’emploi visant la mise en œuvre en applique extérieure :</w:t>
      </w:r>
    </w:p>
    <w:p>
      <w:pPr>
        <w:pPr/>
        <w:numPr>
          <w:ilvl w:val="0"/>
          <w:numId w:val="21"/>
        </w:numPr>
      </w:pPr>
      <w:r>
        <w:rPr/>
        <w:t xml:space="preserve">Le paragraphe "domaine d'emploi" continuera à préciser que les ouvrages prévus dans les préconisations du guide « Protection contre l’incendie des façades béton ou maçonnerie revêtues de systèmes d’isolation thermique extérieure par bardage rapporté ventilé - Septembre 2017 » sont exclus.</w:t>
      </w:r>
    </w:p>
    <w:p>
      <w:pPr>
        <w:pPr/>
        <w:numPr>
          <w:ilvl w:val="0"/>
          <w:numId w:val="21"/>
        </w:numPr>
      </w:pPr>
      <w:r>
        <w:rPr/>
        <w:t xml:space="preserve">Le paragraphe "mise en œuvre" précisera que les préconisations du guides« Protection contre l’incendie des façades béton ou maçonnerie revêtues de systèmes d’isolation thermique extérieure par enduit sur polystyrène expansé (ETICS-PSE) – septembre 2020 » doivent être respectées.</w:t>
      </w:r>
    </w:p>
    <w:p>
      <w:pPr>
        <w:ind w:left="720" w:right="0"/>
      </w:pPr>
      <w:r>
        <w:rPr>
          <w:rStyle w:val="font_h2"/>
        </w:rPr>
        <w:t xml:space="preserve">8.25. 2020 (10) Charge maximum des vantaux</w:t>
      </w:r>
    </w:p>
    <w:p>
      <w:pPr/>
      <w:r>
        <w:rPr/>
        <w:t xml:space="preserve">Validé par le Groupe Spécialisé le 10/12/2020</w:t>
      </w:r>
    </w:p>
    <w:p>
      <w:pPr/>
      <w:r>
        <w:rPr>
          <w:b/>
          <w:bCs/>
        </w:rPr>
        <w:t xml:space="preserve">Description</w:t>
      </w:r>
    </w:p>
    <w:p>
      <w:pPr/>
      <w:r>
        <w:rPr/>
        <w:t xml:space="preserve">Le GS 06 demande que la charge maximum admissible par chariot, dans le cas des fenêtres coulissantes, ne soit plus indiquée.</w:t>
      </w:r>
    </w:p>
    <w:p>
      <w:pPr/>
      <w:r>
        <w:rPr/>
        <w:t xml:space="preserve">En revanche, dans la partie Avis - Prescriptions Techniques - Conditions de fabrication, il sera indiqué la masse des vantaux objet de l'essai d'endurance ouverture/fermeture et il sera précisé que pour des masses supérieures, il conviendra d'apporter des justifications : "Dans le cas de vitrages d’épaisseur de verre supérieure à xx mm ou de masse de vantail supérieure à xx kg, le fabricant devra s’assurer, par voie expérimentale, que la conception globale de la fenêtre (ferrage, profilés) permet de satisfaire aux critères mécaniques spécifiques prévus par la norme NF P 20-302, dans la limite des charges maximum prévues par la quincaillerie."</w:t>
      </w:r>
    </w:p>
    <w:p>
      <w:pPr/>
      <w:r>
        <w:rPr/>
        <w:t xml:space="preserve">Cette disposition s'applique également aux fenêtres à frappe.</w:t>
      </w:r>
    </w:p>
    <w:p>
      <w:pPr>
        <w:ind w:left="720" w:right="0"/>
      </w:pPr>
      <w:r>
        <w:rPr>
          <w:rStyle w:val="font_h2"/>
        </w:rPr>
        <w:t xml:space="preserve">8.26.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8.27. 2020 (12) Mise en œuvre ITE</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Les fenêtres doivent être mises en œuvre selon les modalités du cahier CSTB 3709 v2 de juin 2015.".</w:t>
      </w:r>
    </w:p>
    <w:p>
      <w:pPr>
        <w:ind w:left="720" w:right="0"/>
      </w:pPr>
      <w:r>
        <w:rPr>
          <w:rStyle w:val="font_h2"/>
        </w:rPr>
        <w:t xml:space="preserve">8.28. 2021 (02) Mise à jour du paragraphe « système d’étanchéité »</w:t>
      </w:r>
    </w:p>
    <w:p>
      <w:pPr/>
      <w:r>
        <w:rPr/>
        <w:t xml:space="preserve">Validé par le Groupe Spécialisé le 11/03/2021</w:t>
      </w:r>
    </w:p>
    <w:p>
      <w:pPr/>
      <w:r>
        <w:rPr>
          <w:b/>
          <w:bCs/>
        </w:rPr>
        <w:t xml:space="preserve">Description</w:t>
      </w:r>
    </w:p>
    <w:p>
      <w:pPr/>
      <w:r>
        <w:rPr/>
        <w:t xml:space="preserve">Les normes NF P 85-504 et NF EN ISO 8339 n’ont plus lieu de figurer dans le DTA.</w:t>
      </w:r>
    </w:p>
    <w:p>
      <w:pPr>
        <w:ind w:left="720" w:right="0"/>
      </w:pPr>
      <w:r>
        <w:rPr>
          <w:rStyle w:val="font_h2"/>
        </w:rPr>
        <w:t xml:space="preserve">8.29. 2021 (02) Précision concernant le risque d’usure du joint central</w:t>
      </w:r>
    </w:p>
    <w:p>
      <w:pPr/>
      <w:r>
        <w:rPr/>
        <w:t xml:space="preserve">Validé par le Groupe Spécialisé le 11/03/2021</w:t>
      </w:r>
    </w:p>
    <w:p>
      <w:pPr/>
      <w:r>
        <w:rPr>
          <w:b/>
          <w:bCs/>
        </w:rPr>
        <w:t xml:space="preserve">Description</w:t>
      </w:r>
    </w:p>
    <w:p>
      <w:pPr/>
      <w:r>
        <w:rPr/>
        <w:t xml:space="preserve">Ajout de la précision « cas des portes-fenêtres » à la jurisprudence suivante : Le joint central étant porté par le dormant, il existe un risque d’usure prématurée dans le cas des portes-fenêtres, dû au passage, pouvant entrainer des baisses de performance à l’air et à l’eau.</w:t>
      </w:r>
    </w:p>
    <w:p>
      <w:pPr>
        <w:ind w:left="720" w:right="0"/>
      </w:pPr>
      <w:r>
        <w:rPr>
          <w:rStyle w:val="font_h2"/>
        </w:rPr>
        <w:t xml:space="preserve">8.30. 2021 (02) Masse des vantaux lors de l’essai d’endurance ouverture - fermeture</w:t>
      </w:r>
    </w:p>
    <w:p>
      <w:pPr/>
      <w:r>
        <w:rPr/>
        <w:t xml:space="preserve">Validé par le Groupe Spécialisé le 11/03/2021</w:t>
      </w:r>
    </w:p>
    <w:p>
      <w:pPr/>
      <w:r>
        <w:rPr>
          <w:b/>
          <w:bCs/>
        </w:rPr>
        <w:t xml:space="preserve">Description</w:t>
      </w:r>
    </w:p>
    <w:p>
      <w:pPr/>
      <w:r>
        <w:rPr/>
        <w:t xml:space="preserve">Il est décidé que la jurisprudence prise lors du GS du 29 octobre 2020 concernant la mention de la masse des vantaux objet de l'essai d'endurance ouverture/fermeture s’applique également pour les dossiers faisant l’objet d’une révision.</w:t>
      </w:r>
    </w:p>
    <w:p>
      <w:pPr>
        <w:ind w:left="720" w:right="0"/>
      </w:pPr>
      <w:r>
        <w:rPr>
          <w:rStyle w:val="font_h2"/>
        </w:rPr>
        <w:t xml:space="preserve">8.31. 2021 (03) Représentations des vitrages dans le DTED</w:t>
      </w:r>
    </w:p>
    <w:p>
      <w:pPr/>
      <w:r>
        <w:rPr/>
        <w:t xml:space="preserve">Validé par le Groupe Spécialisé le 06/05/2021</w:t>
      </w:r>
    </w:p>
    <w:p>
      <w:pPr/>
      <w:r>
        <w:rPr>
          <w:b/>
          <w:bCs/>
        </w:rPr>
        <w:t xml:space="preserve">Description</w:t>
      </w:r>
    </w:p>
    <w:p>
      <w:pPr/>
      <w:r>
        <w:rPr/>
        <w:t xml:space="preserve">Le GS6 acte que les vitrages seront systématiquement représentés avec des verres de 4 mm d’épaisseur sauf si le système ne le permet pas.Les coupes verticales seront à réalisées avec la plus grande épaisseur de vitrage et avec un verre intérieur de 4 mm d’épaisseur.</w:t>
      </w:r>
    </w:p>
    <w:p>
      <w:pPr>
        <w:ind w:left="720" w:right="0"/>
      </w:pPr>
      <w:r>
        <w:rPr>
          <w:rStyle w:val="font_h2"/>
        </w:rPr>
        <w:t xml:space="preserve">8.32. 2021 (03) Protection contre la corrosion des vis acier en contact avec l’Aluminium</w:t>
      </w:r>
    </w:p>
    <w:p>
      <w:pPr/>
      <w:r>
        <w:rPr/>
        <w:t xml:space="preserve">Validé par le Groupe Spécialisé le 06/05/2021</w:t>
      </w:r>
    </w:p>
    <w:p>
      <w:pPr/>
      <w:r>
        <w:rPr>
          <w:b/>
          <w:bCs/>
        </w:rPr>
        <w:t xml:space="preserve">Description</w:t>
      </w:r>
    </w:p>
    <w:p>
      <w:pPr/>
      <w:r>
        <w:rPr/>
        <w:t xml:space="preserve">Dans le cadre de la révision de la norme NF P23-305, le FCBA a consulté le GS6 sur le niveau de protection contre la corrosion des vis acier en contact avec l’aluminium. Le GS6 acte les protections minimales suivantes :</w:t>
      </w:r>
    </w:p>
    <w:p>
      <w:pPr>
        <w:pPr/>
        <w:numPr>
          <w:ilvl w:val="0"/>
          <w:numId w:val="22"/>
        </w:numPr>
      </w:pPr>
      <w:r>
        <w:rPr/>
        <w:t xml:space="preserve">Vis inox A2 pour la fixation d’éléments démontables.</w:t>
      </w:r>
    </w:p>
    <w:p>
      <w:pPr>
        <w:pPr/>
        <w:numPr>
          <w:ilvl w:val="0"/>
          <w:numId w:val="22"/>
        </w:numPr>
      </w:pPr>
      <w:r>
        <w:rPr/>
        <w:t xml:space="preserve">Vis zinguées de classe 4 selon la norme EN 1670 pour les éléments non démontables.</w:t>
      </w:r>
    </w:p>
    <w:p>
      <w:pPr>
        <w:ind w:left="720" w:right="0"/>
      </w:pPr>
      <w:r>
        <w:rPr>
          <w:rStyle w:val="font_h2"/>
        </w:rPr>
        <w:t xml:space="preserve">8.33. 2021 (05) Motorisation des fenêtres</w:t>
      </w:r>
    </w:p>
    <w:p>
      <w:pPr/>
      <w:r>
        <w:rPr/>
        <w:t xml:space="preserve">Validé par le Groupe Spécialisé le 17/06/2021</w:t>
      </w:r>
    </w:p>
    <w:p>
      <w:pPr/>
      <w:r>
        <w:rPr>
          <w:b/>
          <w:bCs/>
        </w:rPr>
        <w:t xml:space="preserve">Description</w:t>
      </w:r>
    </w:p>
    <w:p>
      <w:pPr/>
      <w:r>
        <w:rPr/>
        <w:t xml:space="preserve">Le GS6 souhaite pouvoir évaluer la « motorisabilité » des systèmes (profilés dédiés, assemblages, montages, impact éventuel sur le fonctionnement et/ou les performances, …) sans se prononcer sur la sécurité ou le fonctionnement du moteur.</w:t>
      </w:r>
    </w:p>
    <w:p>
      <w:pPr/>
      <w:r>
        <w:rPr/>
        <w:t xml:space="preserve">De plus, le GS6 souhaite qu'un fabricant ne puisse se revendiquer du DTA pour une fenêtre motorisée que si celui-ci est certifié dans la cadre de sa motorisation.</w:t>
      </w:r>
    </w:p>
    <w:p>
      <w:pPr>
        <w:ind w:left="720" w:right="0"/>
      </w:pPr>
      <w:r>
        <w:rPr>
          <w:rStyle w:val="font_h2"/>
        </w:rPr>
        <w:t xml:space="preserve">8.34.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8.35.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23"/>
        </w:numPr>
      </w:pPr>
      <w:r>
        <w:rPr/>
        <w:t xml:space="preserve">label Qualimarine avec alliage qualité bâtiment selon définition du DTU 33.1 ;</w:t>
      </w:r>
    </w:p>
    <w:p>
      <w:pPr/>
      <w:r>
        <w:rPr/>
        <w:t xml:space="preserve">ou bien</w:t>
      </w:r>
    </w:p>
    <w:p>
      <w:pPr>
        <w:pPr/>
        <w:numPr>
          <w:ilvl w:val="0"/>
          <w:numId w:val="24"/>
        </w:numPr>
      </w:pPr>
      <w:r>
        <w:rPr/>
        <w:t xml:space="preserve">label Qualicoat Seaside AA1 ou AA2 minimum avec alliage qualité bâtiment selon définition du DTU 33.1.</w:t>
      </w:r>
    </w:p>
    <w:p>
      <w:pPr>
        <w:ind w:left="720" w:right="0"/>
      </w:pPr>
      <w:r>
        <w:rPr>
          <w:rStyle w:val="font_h2"/>
        </w:rPr>
        <w:t xml:space="preserve">8.36. 2021 (09) Conclusions du groupe de travail sur la dimension du recouvrement des systèmes à joints centraux</w:t>
      </w:r>
    </w:p>
    <w:p>
      <w:pPr/>
      <w:r>
        <w:rPr/>
        <w:t xml:space="preserve">Validé par le Groupe Spécialisé le 04/11/2021</w:t>
      </w:r>
    </w:p>
    <w:p>
      <w:pPr/>
      <w:r>
        <w:rPr>
          <w:b/>
          <w:bCs/>
        </w:rPr>
        <w:t xml:space="preserve">Description</w:t>
      </w:r>
    </w:p>
    <w:p>
      <w:pPr/>
      <w:r>
        <w:rPr/>
        <w:t xml:space="preserve">Sur les plans, les paramètres suivants sont mesurés en traverse basse :</w:t>
      </w:r>
    </w:p>
    <w:p>
      <w:pPr>
        <w:pPr/>
        <w:numPr>
          <w:ilvl w:val="0"/>
          <w:numId w:val="25"/>
        </w:numPr>
      </w:pPr>
      <w:r>
        <w:rPr/>
        <w:t xml:space="preserve">Rc = recouvrement nominal du joint central ;</w:t>
      </w:r>
    </w:p>
    <w:p>
      <w:pPr>
        <w:pPr/>
        <w:numPr>
          <w:ilvl w:val="0"/>
          <w:numId w:val="25"/>
        </w:numPr>
      </w:pPr>
      <w:r>
        <w:rPr/>
        <w:t xml:space="preserve">Ri = recouvrement nominal du joint de frappe intérieur (entre la partie inférieure de la contre-feuillure de l’ouvrant et la partie supérieure du dormant au niveau de la zone de frappe - voir illustration).</w:t>
      </w:r>
    </w:p>
    <w:p>
      <w:pPr/>
      <w:r>
        <w:rPr/>
        <w:t xml:space="preserve">Pour les systèmes de fenêtres à joints centraux répondant aux critères suivants, il ne sera pas nécessaire d'apporter de justifications supplémentaires par rapport à un système de fenêtre à joint de frappe intérieur :</w:t>
      </w:r>
    </w:p>
    <w:p>
      <w:pPr/>
      <w:r>
        <w:rPr/>
        <w:t xml:space="preserve">Cas 1 : Recouvrement nominal du joint central supérieur ou égale à 5 mm. (Rc ≥ 5 mm)</w:t>
      </w:r>
    </w:p>
    <w:p>
      <w:pPr/>
      <w:r>
        <w:rPr/>
        <w:t xml:space="preserve">Cas 2 : 4 ≤ Rc &lt; 5 mm</w:t>
      </w:r>
    </w:p>
    <w:p>
      <w:pPr>
        <w:pPr/>
        <w:numPr>
          <w:ilvl w:val="0"/>
          <w:numId w:val="26"/>
        </w:numPr>
      </w:pPr>
      <w:r>
        <w:rPr/>
        <w:t xml:space="preserve">Réglage possible du recouvrement ouvrant/dormant en hauteur et largeur ± 1 mm et Ri ≥ 5 mmOU</w:t>
      </w:r>
    </w:p>
    <w:p>
      <w:pPr>
        <w:pPr/>
        <w:numPr>
          <w:ilvl w:val="0"/>
          <w:numId w:val="26"/>
        </w:numPr>
      </w:pPr>
      <w:r>
        <w:rPr/>
        <w:t xml:space="preserve">Réglage possible du recouvrement ouvrant/dormant en largeur ± 1 mm et Ri ≥ 8 mm</w:t>
      </w:r>
    </w:p>
    <w:p>
      <w:pPr/>
      <w:r>
        <w:rPr/>
        <w:t xml:space="preserve">Cas 3 : 3 ≤ Rc &lt; 4 mm</w:t>
      </w:r>
    </w:p>
    <w:p>
      <w:pPr>
        <w:pPr/>
        <w:numPr>
          <w:ilvl w:val="0"/>
          <w:numId w:val="27"/>
        </w:numPr>
      </w:pPr>
      <w:r>
        <w:rPr/>
        <w:t xml:space="preserve">Réglage possible du recouvrement ouvrant/dormant en hauteur et largeur ± 2 mm et Ri ≥ 5 mmOU</w:t>
      </w:r>
    </w:p>
    <w:p>
      <w:pPr>
        <w:pPr/>
        <w:numPr>
          <w:ilvl w:val="0"/>
          <w:numId w:val="27"/>
        </w:numPr>
      </w:pPr>
      <w:r>
        <w:rPr/>
        <w:t xml:space="preserve">Réglage possible du recouvrement ouvrant/dormant en largeur ± 1 mm et Ri ≥ 8 mm</w:t>
      </w:r>
    </w:p>
    <w:p>
      <w:pPr/>
      <w:r>
        <w:rPr/>
        <w:t xml:space="preserve">Ces dispositions permettent d'assurer :</w:t>
      </w:r>
    </w:p>
    <w:p>
      <w:pPr>
        <w:pPr/>
        <w:numPr>
          <w:ilvl w:val="0"/>
          <w:numId w:val="28"/>
        </w:numPr>
      </w:pPr>
      <w:r>
        <w:rPr/>
        <w:t xml:space="preserve">Un recouvrement effectif de la garniture de joint central ≥ 3 mm en partie basse et au niveau du battement central.</w:t>
      </w:r>
    </w:p>
    <w:p>
      <w:pPr>
        <w:pPr/>
        <w:numPr>
          <w:ilvl w:val="0"/>
          <w:numId w:val="28"/>
        </w:numPr>
      </w:pPr>
      <w:r>
        <w:rPr/>
        <w:t xml:space="preserve">Un recouvrement effectif de la garniture de joint central ≥ 1 mm sur les autres côtés.</w:t>
      </w:r>
    </w:p>
    <w:p>
      <w:pPr>
        <w:pPr/>
        <w:numPr>
          <w:ilvl w:val="0"/>
          <w:numId w:val="28"/>
        </w:numPr>
      </w:pPr>
      <w:r>
        <w:rPr/>
        <w:t xml:space="preserve">Un recouvrement effectif du joint de frappe intérieur ≥ 3 mm.</w:t>
      </w:r>
    </w:p>
    <w:p>
      <w:pPr/>
      <w:r>
        <w:rPr/>
        <w:t xml:space="preserve">Lors des essais AEV sur ces systèmes, il conviendra de relever le recouvrement effectif du joint de frappe intérieur. Le DTA devra également faire figurer le recouvrement effectif minimum du joint de frappe intérieur permettant de respecter les critères sus-mentionnés.</w:t>
      </w:r>
    </w:p>
    <w:p>
      <w:pPr/>
      <w:r>
        <w:rPr>
          <w:b/>
          <w:bCs/>
        </w:rPr>
        <w:t xml:space="preserve">Illustration</w:t>
      </w:r>
    </w:p>
    <w:p>
      <w:pPr/>
      <w:r>
        <w:rPr/>
        <w:t xml:space="preserve">Illustration du Ri</w:t>
      </w:r>
    </w:p>
    <w:p>
      <w:pPr/>
      <w:r>
        <w:pict>
          <v:shape type="#_x0000_t75" style="width:128pt; height:83pt; margin-left:0pt; margin-top:0pt; mso-position-horizontal:left; mso-position-vertical:top; mso-position-horizontal-relative:char;">
            <w10:wrap type="inline"/>
            <v:imagedata r:id="rId7" o:title=""/>
          </v:shape>
        </w:pict>
      </w:r>
    </w:p>
    <w:p>
      <w:pPr>
        <w:ind w:left="720" w:right="0"/>
      </w:pPr>
      <w:r>
        <w:rPr>
          <w:rStyle w:val="font_h2"/>
        </w:rPr>
        <w:t xml:space="preserve">8.37.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 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8.38. 2021 (12) Systèmes de fenêtres respirantes</w:t>
      </w:r>
    </w:p>
    <w:p>
      <w:pPr/>
      <w:r>
        <w:rPr/>
        <w:t xml:space="preserve">Validé par le Groupe Spécialisé le 02/02/2022</w:t>
      </w:r>
    </w:p>
    <w:p>
      <w:pPr/>
      <w:r>
        <w:rPr>
          <w:b/>
          <w:bCs/>
        </w:rPr>
        <w:t xml:space="preserve">Description</w:t>
      </w:r>
    </w:p>
    <w:p>
      <w:pPr/>
      <w:r>
        <w:rPr/>
        <w:t xml:space="preserve">Dans le cas de système de fenêtre respirante, il conviendra d'indiquer dans les DTA, quelle est la classe d'accès au store (au sens du e-cahier 3677_V2) et quelles sont les limitations sur la température de la lame d'air qui en résultent (notamment dans le cas de fixe faux-ouvrant).</w:t>
      </w:r>
    </w:p>
    <w:p>
      <w:pPr>
        <w:ind w:left="720" w:right="0"/>
      </w:pPr>
      <w:r>
        <w:rPr>
          <w:rStyle w:val="font_h2"/>
        </w:rPr>
        <w:t xml:space="preserve">8.39. 2022 (02) Date et modalités d’application de la jurisprudence sur les systèmes de fenêtres à joints centraux</w:t>
      </w:r>
    </w:p>
    <w:p>
      <w:pPr/>
      <w:r>
        <w:rPr/>
        <w:t xml:space="preserve">Validé par le Groupe Spécialisé le 17/03/2022</w:t>
      </w:r>
    </w:p>
    <w:p>
      <w:pPr/>
      <w:r>
        <w:rPr>
          <w:b/>
          <w:bCs/>
        </w:rPr>
        <w:t xml:space="preserve">Description</w:t>
      </w:r>
    </w:p>
    <w:p>
      <w:pPr/>
      <w:r>
        <w:rPr/>
        <w:t xml:space="preserve">La jurisprudence, sur les systèmes de fenêtre à joints centraux, s’appliquera à partir de janvier 2023 pour toutes les nouvelles demandes et révisions de DTA.</w:t>
      </w:r>
    </w:p>
    <w:p>
      <w:pPr>
        <w:ind w:left="720" w:right="0"/>
      </w:pPr>
      <w:r>
        <w:rPr>
          <w:rStyle w:val="font_h2"/>
        </w:rPr>
        <w:t xml:space="preserve">8.40. 2022 (03) Modalités et date de mise en application du « Cahier 3376_V3 – Dispositions d’usinage des entailles destinées à recevoir les entrées d’air des profilés de fenêtres »</w:t>
      </w:r>
    </w:p>
    <w:p>
      <w:pPr/>
      <w:r>
        <w:rPr/>
        <w:t xml:space="preserve">Validé par le Groupe Spécialisé le 13/04/2022</w:t>
      </w:r>
    </w:p>
    <w:p>
      <w:pPr/>
      <w:r>
        <w:rPr>
          <w:b/>
          <w:bCs/>
        </w:rPr>
        <w:t xml:space="preserve">Description</w:t>
      </w:r>
    </w:p>
    <w:p>
      <w:pPr/>
      <w:r>
        <w:rPr/>
        <w:t xml:space="preserve">Le cahier 3376_V3 sera publié sous 15 jours. Il pourra être utilisé dès sa publication et sera à prendre en compte de manière systématique pour toutes les demandes présentées à partir du 01 janvier 2023.</w:t>
      </w:r>
    </w:p>
    <w:p>
      <w:pPr>
        <w:ind w:left="720" w:right="0"/>
      </w:pPr>
      <w:r>
        <w:rPr>
          <w:rStyle w:val="font_h2"/>
        </w:rPr>
        <w:t xml:space="preserve">8.41.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Les fenêtres utilisant ce ruban doivent rester fonctionnelles et assurer la sécurité des personnes sans celui-ci.</w:t>
      </w:r>
    </w:p>
    <w:p>
      <w:pPr/>
      <w:r>
        <w:rPr/>
        <w:t xml:space="preserve">De façon générale, pour tous les systèmes collés, le fabriquant de colle devra apporter les preuvesde son engagement à :</w:t>
      </w:r>
    </w:p>
    <w:p>
      <w:pPr>
        <w:pPr/>
        <w:numPr>
          <w:ilvl w:val="0"/>
          <w:numId w:val="29"/>
        </w:numPr>
      </w:pPr>
      <w:r>
        <w:rPr/>
        <w:t xml:space="preserve">Garantir une constance de qualité de fabrication et une constance de la composition chimique.</w:t>
      </w:r>
    </w:p>
    <w:p>
      <w:pPr>
        <w:pPr/>
        <w:numPr>
          <w:ilvl w:val="0"/>
          <w:numId w:val="29"/>
        </w:numPr>
      </w:pPr>
      <w:r>
        <w:rPr/>
        <w:t xml:space="preserve">En cas de changement, informer le CSTB de toute modification de la composition de son produit.</w:t>
      </w:r>
    </w:p>
    <w:p>
      <w:pPr>
        <w:pPr/>
        <w:numPr>
          <w:ilvl w:val="0"/>
          <w:numId w:val="29"/>
        </w:numPr>
      </w:pPr>
      <w:r>
        <w:rPr/>
        <w:t xml:space="preserve">Assurer le contrôle qualité en fabrication garantissant les performances de son produit.</w:t>
      </w:r>
    </w:p>
    <w:p>
      <w:pPr>
        <w:ind w:left="720" w:right="0"/>
      </w:pPr>
      <w:r>
        <w:rPr>
          <w:rStyle w:val="font_h2"/>
        </w:rPr>
        <w:t xml:space="preserve">8.42.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8.43. 2022 (05) Révision du cahier 3706 « Cahier des charges des seuils de portes-fenêtres et portes extérieures »</w:t>
      </w:r>
    </w:p>
    <w:p>
      <w:pPr/>
      <w:r>
        <w:rPr/>
        <w:t xml:space="preserve">Validé par le Groupe Spécialisé le 15/06/2022</w:t>
      </w:r>
    </w:p>
    <w:p>
      <w:pPr/>
      <w:r>
        <w:rPr>
          <w:b/>
          <w:bCs/>
        </w:rPr>
        <w:t xml:space="preserve">Description</w:t>
      </w:r>
    </w:p>
    <w:p>
      <w:pPr/>
      <w:r>
        <w:rPr/>
        <w:t xml:space="preserve">Le projet de cahier 3706_V2 est entériné.La version révisée du cahier sera applicable aux dossiers présentés au GS06 à partir du 1er janvier 2023 :</w:t>
      </w:r>
    </w:p>
    <w:p>
      <w:pPr>
        <w:pPr/>
        <w:numPr>
          <w:ilvl w:val="0"/>
          <w:numId w:val="30"/>
        </w:numPr>
      </w:pPr>
      <w:r>
        <w:rPr/>
        <w:t xml:space="preserve">Pour tous les nouveaux systèmes ;</w:t>
      </w:r>
    </w:p>
    <w:p>
      <w:pPr>
        <w:pPr/>
        <w:numPr>
          <w:ilvl w:val="0"/>
          <w:numId w:val="30"/>
        </w:numPr>
      </w:pPr>
      <w:r>
        <w:rPr/>
        <w:t xml:space="preserve">Aux systèmes existants (lors de leur révision) dès lors qu’une solution existante de seuil est modifiée ou qu’une nouvelle solution de seuil est ajoutée.</w:t>
      </w:r>
    </w:p>
    <w:p>
      <w:pPr>
        <w:ind w:left="720" w:right="0"/>
      </w:pPr>
      <w:r>
        <w:rPr>
          <w:rStyle w:val="font_h2"/>
        </w:rPr>
        <w:t xml:space="preserve">8.44. 2022 (10) Essai d’aquarium : valeur minimum à prendre en compte pour le cisaillement</w:t>
      </w:r>
    </w:p>
    <w:p>
      <w:pPr/>
      <w:r>
        <w:rPr/>
        <w:t xml:space="preserve">Validé par le Groupe Spécialisé le 16/11/2022</w:t>
      </w:r>
    </w:p>
    <w:p>
      <w:pPr/>
      <w:r>
        <w:rPr>
          <w:b/>
          <w:bCs/>
        </w:rPr>
        <w:t xml:space="preserve">Description</w:t>
      </w:r>
    </w:p>
    <w:p>
      <w:pPr/>
      <w:r>
        <w:rPr/>
        <w:t xml:space="preserve">Pour les profilés de dormant en traverse basse de type O, la jurisprudence indique qu'il faut réaliser un essai d’aquarium sur ce profilé avec une valeur de cisaillement à 70% de sa valeur minimum déclarée. </w:t>
      </w:r>
    </w:p>
    <w:p>
      <w:pPr/>
      <w:r>
        <w:rPr/>
        <w:t xml:space="preserve">Cette jurisprudence avait été prise en prenant en compte la perte maximum autorisée au niveau de l'essai de cisaillement après hydrolyse (notamment les seuils PMR). </w:t>
      </w:r>
    </w:p>
    <w:p>
      <w:pPr/>
      <w:r>
        <w:rPr/>
        <w:t xml:space="preserve">Cependant, pour les profilés de traverse basse de type O, certains essais de cisaillement après déversement permettent de constater une perte supérieure à 30 %. </w:t>
      </w:r>
    </w:p>
    <w:p>
      <w:pPr/>
      <w:r>
        <w:rPr/>
        <w:t xml:space="preserve">La jurisprudence reste inchangée lorsqu’il n’y a pas eu d’essai de déversement réalisé sur le profilé (typiquement le cas des seuils PMR). </w:t>
      </w:r>
    </w:p>
    <w:p>
      <w:pPr/>
      <w:r>
        <w:rPr/>
        <w:t xml:space="preserve">En revanche, lorsqu'un essai de déversement a été réalisé et que la perte lors de l'essai de cisaillement est supérieure à 30%, alors l'essai d'aquarium est à réaliser sur un profilé dont la valeur de cisaillement est inférieure ou égale à la valeur de cisaillement du profilé après déversement.</w:t>
      </w:r>
    </w:p>
    <w:p>
      <w:pPr>
        <w:ind w:left="720" w:right="0"/>
      </w:pPr>
      <w:r>
        <w:rPr>
          <w:rStyle w:val="font_h2"/>
        </w:rPr>
        <w:t xml:space="preserve">8.45. 2022 (12) Quincailleries - Paumelles</w:t>
      </w:r>
    </w:p>
    <w:p>
      <w:pPr/>
      <w:r>
        <w:rPr/>
        <w:t xml:space="preserve">Validé par le Groupe Spécialisé le 02/02/2023</w:t>
      </w:r>
    </w:p>
    <w:p>
      <w:pPr/>
      <w:r>
        <w:rPr>
          <w:b/>
          <w:bCs/>
        </w:rPr>
        <w:t xml:space="preserve">Description</w:t>
      </w:r>
    </w:p>
    <w:p>
      <w:pPr/>
      <w:r>
        <w:rPr/>
        <w:t xml:space="preserve">Le GS confirme la jurisprudence concernant les fenêtres coulissantes selon laquelle les masses maximum admissibles par chariot ne devaient pas être indiquées dans les DTA. Il décide d'étendre cette jurisprudence aux systèmes à frappe : les masses maximum admissibles par paumelle ou par la quincaillerie ne seront plus indiquées dans les DTA.</w:t>
      </w:r>
    </w:p>
    <w:p>
      <w:pPr>
        <w:ind w:left="720" w:right="0"/>
      </w:pPr>
      <w:r>
        <w:rPr>
          <w:rStyle w:val="font_h2"/>
        </w:rPr>
        <w:t xml:space="preserve">8.46. 2023 (03) Opportunité de ne plus standardiser les dimensions maximales des fenêtres PVC</w:t>
      </w:r>
    </w:p>
    <w:p>
      <w:pPr/>
      <w:r>
        <w:rPr/>
        <w:t xml:space="preserve">Validé par le Groupe Spécialisé le 20/04/2023</w:t>
      </w:r>
    </w:p>
    <w:p>
      <w:pPr/>
      <w:r>
        <w:rPr>
          <w:b/>
          <w:bCs/>
        </w:rPr>
        <w:t xml:space="preserve">Description</w:t>
      </w:r>
    </w:p>
    <w:p>
      <w:pPr/>
      <w:r>
        <w:rPr/>
        <w:t xml:space="preserve">Le GS6 acte la possibilité de présenter des projets de DTA de fenêtre en PVC dont les dimensions maximales sont supérieures aux dimensions « standardisées » comme c’est déjà le cas pour les DTA de fenêtres en Aluminium RPT.</w:t>
      </w:r>
    </w:p>
    <w:p>
      <w:pPr>
        <w:ind w:left="720" w:right="0"/>
      </w:pPr>
      <w:r>
        <w:rPr>
          <w:rStyle w:val="font_h2"/>
        </w:rPr>
        <w:t xml:space="preserve">8.47.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8.48. 2023 (06) Cas des systèmes ne pouvant pas justifier d’un essai à l’eau en méthode A</w:t>
      </w:r>
    </w:p>
    <w:p>
      <w:pPr/>
      <w:r>
        <w:rPr/>
        <w:t xml:space="preserve">Validé par le Groupe Spécialisé le 14/09/2023</w:t>
      </w:r>
    </w:p>
    <w:p>
      <w:pPr/>
      <w:r>
        <w:rPr>
          <w:b/>
          <w:bCs/>
        </w:rPr>
        <w:t xml:space="preserve">Description</w:t>
      </w:r>
    </w:p>
    <w:p>
      <w:pPr/>
      <w:r>
        <w:rPr/>
        <w:t xml:space="preserve">Pour tous les systèmes de fenêtres ne pouvant justifier d’un essai à l’eau en méthode A, il sera précisé au paragraphe 1.1.2 « Ouvrages visés » : « Pour des conditions de conception conformes au paragraphe 2 « Dossier technique » : fenêtre extérieure mise en œuvre, dans les cas où la méthode A d’essai à l’eau n’est pas requise : ».</w:t>
      </w:r>
    </w:p>
    <w:p>
      <w:pPr>
        <w:ind w:left="720" w:right="0"/>
      </w:pPr>
      <w:r>
        <w:rPr>
          <w:rStyle w:val="font_h2"/>
        </w:rPr>
        <w:t xml:space="preserve">8.49. 2023 (06) Précision sur la jurisprudence concernant la dimension minimum de 10 mm de surface plane pour le calfeutrement au dos des dormants pour les nouveaux systèmes</w:t>
      </w:r>
    </w:p>
    <w:p>
      <w:pPr/>
      <w:r>
        <w:rPr/>
        <w:t xml:space="preserve">Validé par le Groupe Spécialisé le 14/09/2023</w:t>
      </w:r>
    </w:p>
    <w:p>
      <w:pPr/>
      <w:r>
        <w:rPr>
          <w:b/>
          <w:bCs/>
        </w:rPr>
        <w:t xml:space="preserve">Description</w:t>
      </w:r>
    </w:p>
    <w:p>
      <w:pPr/>
      <w:r>
        <w:rPr/>
        <w:t xml:space="preserve">Le GS6 précise la jurisprudence d’avril 2018 sur la dimension des calfeutrements : 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(éventuellement à l’aide d’un profil complémentaire monté d’usine). Une dimension inférieure, même avec limitation du domaine d’emploi n’est pas acceptable, car peu réaliste vis-à-vis des conditions de chantier. Cette jurisprudence s’applique à tous les DTA. Dans le cas où un profilé complémentaire monté d’usine est nécessaire, il conviendra de publier un plan indiquant clairement la façon dont il est assemblé.</w:t>
      </w:r>
    </w:p>
    <w:p>
      <w:pPr>
        <w:ind w:left="720" w:right="0"/>
      </w:pPr>
      <w:r>
        <w:rPr>
          <w:rStyle w:val="font_h2"/>
        </w:rPr>
        <w:t xml:space="preserve">8.50. 2023 (06) Règles sismiques pour les fenêtres fixées sur deux côtés ou en bandes filantes</w:t>
      </w:r>
    </w:p>
    <w:p>
      <w:pPr/>
      <w:r>
        <w:rPr/>
        <w:t xml:space="preserve">Validé par le Groupe Spécialisé le 14/09/2023</w:t>
      </w:r>
    </w:p>
    <w:p>
      <w:pPr/>
      <w:r>
        <w:rPr>
          <w:b/>
          <w:bCs/>
        </w:rPr>
        <w:t xml:space="preserve">Description</w:t>
      </w:r>
    </w:p>
    <w:p>
      <w:pPr/>
      <w:r>
        <w:rPr/>
        <w:t xml:space="preserve">La jurisprudence actuelle prévoie que la phrase suivante soit indiquée dans les DTA au paragraphe « Pose en zone sismique » : « Le présent système ne présentant pas d'éléments de remplissage supérieurs à 4 m², il n'y a pas lieu d'apporter de justifications particulières (conformément au « Guide de dimensionnement parasismique des élément non structuraux du cadre bâti » de septembre 2014). ».</w:t>
      </w:r>
    </w:p>
    <w:p>
      <w:pPr/>
      <w:r>
        <w:rPr/>
        <w:t xml:space="preserve">Le GS6 souhaite que cette phrase soit modifiée comme suit : « Le présent système ne présentant pas d’éléments de remplissage supérieurs à 4 m² et ne prévoyant pas de disposition de mise en œuvre en bande filante, il n'y a pas lieu d'apporter de justifications particulières (conformément au « Guide de dimensionnement parasismique des élément non structuraux du cadre bâti » de septembre 2014). ». Dans les cas où un système de fenêtre prévoit des dispositions de mise en œuvre en bande filante, ou une fixation particulière il y aura lieu d’examiner les justifications particulières (par exemple des justifications conformes à la fiche technique n°49).</w:t>
      </w:r>
    </w:p>
    <w:p>
      <w:pPr>
        <w:ind w:left="720" w:right="0"/>
      </w:pPr>
      <w:r>
        <w:rPr>
          <w:rStyle w:val="font_h2"/>
        </w:rPr>
        <w:t xml:space="preserve">8.51. 2023 (11) Fixation des bavettes</w:t>
      </w:r>
    </w:p>
    <w:p>
      <w:pPr/>
      <w:r>
        <w:rPr/>
        <w:t xml:space="preserve">Validé par le Groupe Spécialisé le 14/12/2023</w:t>
      </w:r>
    </w:p>
    <w:p>
      <w:pPr/>
      <w:r>
        <w:rPr>
          <w:b/>
          <w:bCs/>
        </w:rPr>
        <w:t xml:space="preserve">Description</w:t>
      </w:r>
    </w:p>
    <w:p>
      <w:pPr/>
      <w:r>
        <w:rPr/>
        <w:t xml:space="preserve">Le GS6 souhaite limiter l’utilisation des bavettes « clippées collées » (non vissées). L’utilisation de ce mode de fixation est à réserver aux cas où la mise en place de la bavette est au lot menuiserie. Cela exclu de fait, l’utilisation de ce mode de fixation dans les cas de bavettes pour mise en œuvre ITE.</w:t>
      </w:r>
    </w:p>
    <w:p>
      <w:pPr>
        <w:ind w:left="720" w:right="0"/>
      </w:pPr>
      <w:r>
        <w:rPr>
          <w:rStyle w:val="font_h2"/>
        </w:rPr>
        <w:t xml:space="preserve">8.52. 2023 (11) Passage de type O à type C au sens de la norme NF EN 14024 (2023)</w:t>
      </w:r>
    </w:p>
    <w:p>
      <w:pPr/>
      <w:r>
        <w:rPr/>
        <w:t xml:space="preserve">Validé par le Groupe Spécialisé le 14/12/2023</w:t>
      </w:r>
    </w:p>
    <w:p>
      <w:pPr/>
      <w:r>
        <w:rPr>
          <w:b/>
          <w:bCs/>
        </w:rPr>
        <w:t xml:space="preserve">Description</w:t>
      </w:r>
    </w:p>
    <w:p>
      <w:pPr/>
      <w:r>
        <w:rPr/>
        <w:t xml:space="preserve">Au fur et à mesure des révisions, la référence au type O de certains profilés aluminium RPT sera remplacée par le type C, conformément à la norme NF EN 14024 (2023).</w:t>
      </w:r>
    </w:p>
    <w:p>
      <w:pPr>
        <w:ind w:left="720" w:right="0"/>
      </w:pPr>
      <w:r>
        <w:rPr>
          <w:rStyle w:val="font_h2"/>
        </w:rPr>
        <w:t xml:space="preserve">8.53. 2023 (11) Mise en œuvre nécessitant un profilé complémentaire</w:t>
      </w:r>
    </w:p>
    <w:p>
      <w:pPr/>
      <w:r>
        <w:rPr/>
        <w:t xml:space="preserve">Validé par le Groupe Spécialisé le 14/12/2023</w:t>
      </w:r>
    </w:p>
    <w:p>
      <w:pPr/>
      <w:r>
        <w:rPr>
          <w:b/>
          <w:bCs/>
        </w:rPr>
        <w:t xml:space="preserve">Description</w:t>
      </w:r>
    </w:p>
    <w:p>
      <w:pPr/>
      <w:r>
        <w:rPr/>
        <w:t xml:space="preserve">Lorsque la mise en œuvre d’une fenêtre (en tunnel par exemple) nécessite la mise en place au cul du dormant d’un profilé complémentaire il conviendra de : </w:t>
      </w:r>
    </w:p>
    <w:p>
      <w:pPr>
        <w:pPr/>
        <w:numPr>
          <w:ilvl w:val="0"/>
          <w:numId w:val="31"/>
        </w:numPr>
      </w:pPr>
      <w:r>
        <w:rPr/>
        <w:t xml:space="preserve">le préciser dans le paragraphe « domaine d’emploi », </w:t>
      </w:r>
    </w:p>
    <w:p>
      <w:pPr>
        <w:pPr/>
        <w:numPr>
          <w:ilvl w:val="0"/>
          <w:numId w:val="31"/>
        </w:numPr>
      </w:pPr>
      <w:r>
        <w:rPr/>
        <w:t xml:space="preserve">l’indiquer dans le paragraphe « remarques complémentaires du groupe spécialisé », </w:t>
      </w:r>
    </w:p>
    <w:p>
      <w:pPr>
        <w:pPr/>
        <w:numPr>
          <w:ilvl w:val="0"/>
          <w:numId w:val="31"/>
        </w:numPr>
      </w:pPr>
      <w:r>
        <w:rPr/>
        <w:t xml:space="preserve">présenter dans le dossier publié un schéma montrant la mise en place de ce profilé et son interaction avec le gros œuvre.</w:t>
      </w:r>
    </w:p>
    <w:p>
      <w:pPr>
        <w:ind w:left="720" w:right="0"/>
      </w:pPr>
      <w:r>
        <w:rPr>
          <w:rStyle w:val="font_h2"/>
        </w:rPr>
        <w:t xml:space="preserve">8.54.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8.55. 2023 (12) Pièce imprimée en 3D</w:t>
      </w:r>
    </w:p>
    <w:p>
      <w:pPr/>
      <w:r>
        <w:rPr/>
        <w:t xml:space="preserve">Validé par le Groupe Spécialisé le 01/02/2024</w:t>
      </w:r>
    </w:p>
    <w:p>
      <w:pPr/>
      <w:r>
        <w:rPr>
          <w:b/>
          <w:bCs/>
        </w:rPr>
        <w:t xml:space="preserve">Description</w:t>
      </w:r>
    </w:p>
    <w:p>
      <w:pPr/>
      <w:r>
        <w:rPr/>
        <w:t xml:space="preserve">En complément de la jurisprudence « 2018 (12) Pièces en impression 3D », les éléments concernés (réalisés en impression 3D) seront identifiés dans le DTA présenté en GS6 (tout comme le sont déjà les profilés métalliques RPT type C). L’identification des pièces en impression 3D ne sera pas conservée dans le dossier publié.</w:t>
      </w:r>
    </w:p>
    <w:p>
      <w:pPr>
        <w:ind w:left="720" w:right="0"/>
      </w:pPr>
      <w:r>
        <w:rPr>
          <w:rStyle w:val="font_h2"/>
        </w:rPr>
        <w:t xml:space="preserve">8.56. 2023 (12) Cas de pose PMR avec dalles sur plots</w:t>
      </w:r>
    </w:p>
    <w:p>
      <w:pPr/>
      <w:r>
        <w:rPr/>
        <w:t xml:space="preserve">Validé par le Groupe Spécialisé le 01/02/2024</w:t>
      </w:r>
    </w:p>
    <w:p>
      <w:pPr/>
      <w:r>
        <w:rPr>
          <w:b/>
          <w:bCs/>
        </w:rPr>
        <w:t xml:space="preserve">Description</w:t>
      </w:r>
    </w:p>
    <w:p>
      <w:pPr/>
      <w:r>
        <w:rPr/>
        <w:t xml:space="preserve">Dans le cas où le demandeur souhaiterait que le domaine d’emploi de son système inclus la mise en œuvre PMR avec dalles sur plots (en remplacement d’un caillebotis) il conviendra de réaliser l’essai suivant : essai E*, réalisé au CSTB, avec une plaque pleine (type contreplaqué) simulant une dalle, positionnée à 5 mm du nez du seuil PMR.</w:t>
      </w:r>
    </w:p>
    <w:p>
      <w:pPr>
        <w:ind w:left="720" w:right="0"/>
      </w:pPr>
      <w:r>
        <w:rPr>
          <w:rStyle w:val="font_h2"/>
        </w:rPr>
        <w:t xml:space="preserve">8.57. 2023 (12) Prise en feuillure des vitrages</w:t>
      </w:r>
    </w:p>
    <w:p>
      <w:pPr/>
      <w:r>
        <w:rPr/>
        <w:t xml:space="preserve">Validé par le Groupe Spécialisé le 01/02/2024</w:t>
      </w:r>
    </w:p>
    <w:p>
      <w:pPr/>
      <w:r>
        <w:rPr>
          <w:b/>
          <w:bCs/>
        </w:rPr>
        <w:t xml:space="preserve">Description</w:t>
      </w:r>
    </w:p>
    <w:p>
      <w:pPr/>
      <w:r>
        <w:rPr/>
        <w:t xml:space="preserve">La prise en feuillure minimale nécessaire pour assurer la sécurité aux chutes des personnes sera prise en compte vis-à-vis de la joue de feuillure extérieure du dormant conformément au DTU 39 mais pas par rapport à la hauteur de la parclose intérieure.</w:t>
      </w:r>
    </w:p>
    <w:p>
      <w:pPr>
        <w:ind w:left="720" w:right="0"/>
      </w:pPr>
      <w:r>
        <w:rPr>
          <w:rStyle w:val="font_h2"/>
        </w:rPr>
        <w:t xml:space="preserve">8.58. 2024 (02) Mise en œuvre sur ossature métallique dans le domaine emploi</w:t>
      </w:r>
    </w:p>
    <w:p>
      <w:pPr/>
      <w:r>
        <w:rPr/>
        <w:t xml:space="preserve">Validé par le Groupe Spécialisé le 13/03/2024</w:t>
      </w:r>
    </w:p>
    <w:p>
      <w:pPr/>
      <w:r>
        <w:rPr>
          <w:b/>
          <w:bCs/>
        </w:rPr>
        <w:t xml:space="preserve">Description</w:t>
      </w:r>
    </w:p>
    <w:p>
      <w:pPr/>
      <w:r>
        <w:rPr/>
        <w:t xml:space="preserve">Pour justifier de l’ajout de la mise en œuvre sur ossature métallique dans le domaine d’emploi de son système, le demandeur devra fournir un plan de mise en œuvre en tunnel.</w:t>
      </w:r>
    </w:p>
    <w:p>
      <w:pPr>
        <w:ind w:left="720" w:right="0"/>
      </w:pPr>
      <w:r>
        <w:rPr>
          <w:rStyle w:val="font_h2"/>
        </w:rPr>
        <w:t xml:space="preserve">8.59. 2024 (03) Traitement en fin de vie</w:t>
      </w:r>
    </w:p>
    <w:p>
      <w:pPr/>
      <w:r>
        <w:rPr/>
        <w:t xml:space="preserve">Validé par le Groupe Spécialisé le 16/05/2024</w:t>
      </w:r>
    </w:p>
    <w:p>
      <w:pPr/>
      <w:r>
        <w:rPr>
          <w:b/>
          <w:bCs/>
        </w:rPr>
        <w:t xml:space="preserve">Description</w:t>
      </w:r>
    </w:p>
    <w:p>
      <w:pPr/>
      <w:r>
        <w:rPr/>
        <w:t xml:space="preserve">A partir du GS de mai, il sera ajouté dans la trame de DTA, au paragraphe « Traitement en fin de vie », le texte suivant : « Les fenêtres déposées sur des chantiers de déconstruction ou de rénovation, peuvent être collectées au travers du réseau du point de collecte mis en place par les éco-organismes accrédités par les pouvoirs publics, dans le cadre de la filière de responsabilité élargie du producteur pour les produits et matériaux de construction du bâtiment. Les produits collectés sont ensuite orientés vers les circuits de démantèlement et de valorisation des différents matériaux constitutifs de ces produits. ».</w:t>
      </w:r>
    </w:p>
    <w:p>
      <w:pPr>
        <w:ind w:left="720" w:right="0"/>
      </w:pPr>
      <w:r>
        <w:rPr>
          <w:rStyle w:val="font_h2"/>
        </w:rPr>
        <w:t xml:space="preserve">8.60.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32"/>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32"/>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8.61. 2024 (05) Entretien des fenêtres respirantes</w:t>
      </w:r>
    </w:p>
    <w:p>
      <w:pPr/>
      <w:r>
        <w:rPr/>
        <w:t xml:space="preserve">Validé par le Groupe Spécialisé le 26/06/2024</w:t>
      </w:r>
    </w:p>
    <w:p>
      <w:pPr/>
      <w:r>
        <w:rPr>
          <w:b/>
          <w:bCs/>
        </w:rPr>
        <w:t xml:space="preserve">Description</w:t>
      </w:r>
    </w:p>
    <w:p>
      <w:pPr/>
      <w:r>
        <w:rPr/>
        <w:t xml:space="preserve">Pour les DTA de fenêtres respirantes, le GS6 souhaite que lui soient présentées les procédures de nettoyage et de remplacement des filtres. Ces procédures seront expliquées dans le paragraphe « Maintien en service du produit » du DTA publié. Cela s’applique pour les dossiers présentés à partir du 26 juin 2024.</w:t>
      </w:r>
    </w:p>
    <w:p>
      <w:pPr>
        <w:ind w:left="720" w:right="0"/>
      </w:pPr>
      <w:r>
        <w:rPr>
          <w:rStyle w:val="font_h2"/>
        </w:rPr>
        <w:t xml:space="preserve">8.62. 2024 (05) Références chantiers des fenêtres respirantes</w:t>
      </w:r>
    </w:p>
    <w:p>
      <w:pPr/>
      <w:r>
        <w:rPr/>
        <w:t xml:space="preserve">Validé par le Groupe Spécialisé le 26/06/2024</w:t>
      </w:r>
    </w:p>
    <w:p>
      <w:pPr/>
      <w:r>
        <w:rPr>
          <w:b/>
          <w:bCs/>
        </w:rPr>
        <w:t xml:space="preserve">Description</w:t>
      </w:r>
    </w:p>
    <w:p>
      <w:pPr/>
      <w:r>
        <w:rPr/>
        <w:t xml:space="preserve">Pour les DTA de fenêtres respirantes, seuls les chantiers ayant fait l’objet d’un suivi pourront être indiqués dans la partie « Références de chantiers ». Lors de chaque révision, les références de chantiers ayant eu lieu depuis la dernière révision et ayant fait l’objet d’un suivi devront être indiquées. Dans le cas où aucun chantier ayant fait l’objet d’un suivi n’a eu lieu, il sera indiqué « Le demandeur déclare n'avoir réalisé aucun chantier avec ce système depuis au moins 2 ans. ».</w:t>
      </w:r>
    </w:p>
    <w:p>
      <w:pPr>
        <w:ind w:left="720" w:right="0"/>
      </w:pPr>
      <w:r>
        <w:rPr>
          <w:rStyle w:val="font_h2"/>
        </w:rPr>
        <w:t xml:space="preserve">8.63. 2024 (05) Rédaction pour les fenêtres respirantes</w:t>
      </w:r>
    </w:p>
    <w:p>
      <w:pPr/>
      <w:r>
        <w:rPr/>
        <w:t xml:space="preserve">Validé par le Groupe Spécialisé le 26/06/2024</w:t>
      </w:r>
    </w:p>
    <w:p>
      <w:pPr/>
      <w:r>
        <w:rPr>
          <w:b/>
          <w:bCs/>
        </w:rPr>
        <w:t xml:space="preserve">Description</w:t>
      </w:r>
    </w:p>
    <w:p>
      <w:pPr/>
      <w:r>
        <w:rPr/>
        <w:t xml:space="preserve">Pour les DTA de fenêtres respirantes :</w:t>
      </w:r>
    </w:p>
    <w:p>
      <w:pPr>
        <w:pPr/>
        <w:numPr>
          <w:ilvl w:val="0"/>
          <w:numId w:val="33"/>
        </w:numPr>
      </w:pPr>
      <w:r>
        <w:rPr/>
        <w:t xml:space="preserve">l’encart spécifique en première page du DTA est complété et devient « Ne peuvent se prévaloir du présent Document Technique d’Application que les unités de fabrication bénéficiant d’un suivi par un organisme tiers conformément au e-cahier du CSTB 3759 » ;</w:t>
      </w:r>
    </w:p>
    <w:p>
      <w:pPr>
        <w:pPr/>
        <w:numPr>
          <w:ilvl w:val="0"/>
          <w:numId w:val="33"/>
        </w:numPr>
      </w:pPr>
      <w:r>
        <w:rPr/>
        <w:t xml:space="preserve">la remarque du GS6 devient « Compte tenu de la sensibilité de fabrication de ce système, seules les unités de fabrication bénéficiant d’un suivi par un organisme tiers, conformément au e-cahier du CSTB 3759, peuvent se prévaloir du présent Document Technique d’Application. La liste des unités bénéficiant d'un tel suivi peut être consultée à l'adresse suivante : </w:t>
      </w:r>
      <w:hyperlink r:id="rId8" w:history="1">
        <w:r>
          <w:rPr/>
          <w:t xml:space="preserve">https://www.ccfat.fr/produits-procedes/famille/443/</w:t>
        </w:r>
      </w:hyperlink>
      <w:r>
        <w:rPr/>
        <w:t xml:space="preserve"> ».</w:t>
      </w:r>
    </w:p>
    <w:p>
      <w:pPr>
        <w:ind w:left="720" w:right="0"/>
      </w:pPr>
      <w:r>
        <w:rPr>
          <w:rStyle w:val="font_h2"/>
        </w:rPr>
        <w:t xml:space="preserve">8.64. 2024 (06) Dispositions spécifiques aux seuils PMR</w:t>
      </w:r>
    </w:p>
    <w:p>
      <w:pPr/>
      <w:r>
        <w:rPr/>
        <w:t xml:space="preserve">Validé par le Groupe Spécialisé le 12/09/2024</w:t>
      </w:r>
    </w:p>
    <w:p>
      <w:pPr/>
      <w:r>
        <w:rPr>
          <w:b/>
          <w:bCs/>
        </w:rPr>
        <w:t xml:space="preserve">Description</w:t>
      </w:r>
    </w:p>
    <w:p>
      <w:pPr/>
      <w:r>
        <w:rPr/>
        <w:t xml:space="preserve">En partie 2.4 « Dispositions de mise en œuvre », le paragraphe « Cas des dispositions PMR » est ajouté. Celui-ci précise les cas d’utilisation, soit « Des caillebottis doivent être utilisés dans le cadre de la mise en œuvre PMR. », soit « Des caillebottis mais aussi des dalles sur plots peuvent être utilisés dans le cadre de la mise en œuvre PMR. ». Cette phrase est à adapter selon le contenu du DTA et les justifications fournies. Un essai d’étanchéité à l’eau satisfaisant avec un dispositif simulant les dalles sur plot sera nécessaire pour que cette disposition soit ajoutée à ce nouveau paragraphe.</w:t>
      </w:r>
    </w:p>
    <w:p>
      <w:pPr>
        <w:ind w:left="720" w:right="0"/>
      </w:pPr>
      <w:r>
        <w:rPr>
          <w:rStyle w:val="font_h2"/>
        </w:rPr>
        <w:t xml:space="preserve">8.65. 2024 (11) Efforts de manœuvres</w:t>
      </w:r>
    </w:p>
    <w:p>
      <w:pPr/>
      <w:r>
        <w:rPr/>
        <w:t xml:space="preserve">Validé par le Groupe Spécialisé le 19/12/2024</w:t>
      </w:r>
    </w:p>
    <w:p>
      <w:pPr/>
      <w:r>
        <w:rPr>
          <w:b/>
          <w:bCs/>
        </w:rPr>
        <w:t xml:space="preserve">Description</w:t>
      </w:r>
    </w:p>
    <w:p>
      <w:pPr/>
      <w:r>
        <w:rPr/>
        <w:t xml:space="preserve">Le GS6 estime qu’un effort de manœuvre pour l’ouverture ou la fermeture des fenêtres en position soufflet supérieur ou égal à 150 N n’est pas recevable.Pour les efforts compris entre 120 N et 150 N, le GS6 examinera les dispositions techniques au cas par cas.</w:t>
      </w:r>
    </w:p>
    <w:p>
      <w:pPr>
        <w:ind w:left="720" w:right="0"/>
      </w:pPr>
      <w:r>
        <w:rPr>
          <w:rStyle w:val="font_h2"/>
        </w:rPr>
        <w:t xml:space="preserve">8.66. 2025 (02) Justification de la compatibilité et de l’adhésivité-cohésion des mastics</w:t>
      </w:r>
    </w:p>
    <w:p>
      <w:pPr/>
      <w:r>
        <w:rPr/>
        <w:t xml:space="preserve">Validé par le Groupe Spécialisé le 13/03/2025</w:t>
      </w:r>
    </w:p>
    <w:p>
      <w:pPr/>
      <w:r>
        <w:rPr>
          <w:b/>
          <w:bCs/>
        </w:rPr>
        <w:t xml:space="preserve">Description</w:t>
      </w:r>
    </w:p>
    <w:p>
      <w:pPr/>
      <w:r>
        <w:rPr/>
        <w:t xml:space="preserve">La compatibilité des mastics/silicones est à justifier systématiquement pour chaque contact avec un matériau environnant (hors profilés de fenêtre (PVC, alu, acier) sauf cas particuliers). Cette justification consiste en la réalisation d’un essai conformément au NF DTU 39 P1-2 Annexe A.2.Dans les cas où l’adhésivité-cohésion des mastics/silicones est à justifier, elle doit l’être avec chaque matériau environnant (profilés, accessoires, fond de joints, …) à l’aide d’essais de convenance selon les procédures définies dans le NF DTU 36.5 P1-1.</w:t>
      </w:r>
    </w:p>
    <w:p>
      <w:pPr>
        <w:ind w:left="720" w:right="0"/>
      </w:pPr>
      <w:r>
        <w:rPr>
          <w:rStyle w:val="font_h2"/>
        </w:rPr>
        <w:t xml:space="preserve">8.67. 2025 (03) Protection de la traverse haute dans le cas des bardages ventilés</w:t>
      </w:r>
    </w:p>
    <w:p>
      <w:pPr/>
      <w:r>
        <w:rPr/>
        <w:t xml:space="preserve">Validé par le Groupe Spécialisé le 15/05/2025</w:t>
      </w:r>
    </w:p>
    <w:p>
      <w:pPr/>
      <w:r>
        <w:rPr>
          <w:b/>
          <w:bCs/>
        </w:rPr>
        <w:t xml:space="preserve">Description</w:t>
      </w:r>
    </w:p>
    <w:p>
      <w:pPr/>
      <w:r>
        <w:rPr/>
        <w:t xml:space="preserve">La phrase « Dans le cas de mise en œuvre en ITE avec bardage ventilé, il y aura lieu de prévoir une protection de la traverse haute de manière systématique (de type membrane, larmier, …). » sera ajoutée systématiquement dans chapitre Dispositions de mise en œuvre, dans le paragraphe Cas de l’ITE.</w:t>
      </w:r>
    </w:p>
    <w:p>
      <w:pPr>
        <w:ind w:left="720" w:right="0"/>
      </w:pPr>
      <w:r>
        <w:rPr>
          <w:rStyle w:val="font_h2"/>
        </w:rPr>
        <w:t xml:space="preserve">8.68. 2025 (06) Essais d’endurance ouverture-fermeture sur porte-fenêtre OB2</w:t>
      </w:r>
    </w:p>
    <w:p>
      <w:pPr/>
      <w:r>
        <w:rPr/>
        <w:t xml:space="preserve">Validé par le Groupe Spécialisé le 18/09/2025</w:t>
      </w:r>
    </w:p>
    <w:p>
      <w:pPr/>
      <w:r>
        <w:rPr>
          <w:b/>
          <w:bCs/>
        </w:rPr>
        <w:t xml:space="preserve">Description</w:t>
      </w:r>
    </w:p>
    <w:p>
      <w:pPr/>
      <w:r>
        <w:rPr/>
        <w:t xml:space="preserve">Rappel de la jurisprudence de mars 2012 :Lorsqu'un projet de DTA comporte une porte-fenêtre OB2, un essai d'endurance ouverture/fermeture et essais mécaniques spécifiques devront être réalisés dans cette configuration.</w:t>
      </w:r>
    </w:p>
    <w:p>
      <w:pPr/>
      <w:r>
        <w:rPr/>
        <w:t xml:space="preserve">Le GS6 souhaite modifier cette jurisprudence de la manière suivante :Lorsqu'un projet de DTA comporte une porte-fenêtre OB2, un essai d'endurance ouverture/fermeture et des essais mécaniques spécifiques devront être réalisés dans cette configuration, hormis dans les cas où la gâche permettant le basculement en OB est portée sur le dormant.</w:t>
      </w:r>
    </w:p>
    <w:p>
      <w:pPr>
        <w:ind w:left="720" w:right="0"/>
      </w:pPr>
      <w:r>
        <w:rPr>
          <w:rStyle w:val="font_h2"/>
        </w:rPr>
        <w:t xml:space="preserve">8.69. 2025 (06) Réalisation de l’essai à l’eau E* avec reconstitution de dalle sur plot</w:t>
      </w:r>
    </w:p>
    <w:p>
      <w:pPr/>
      <w:r>
        <w:rPr/>
        <w:t xml:space="preserve">Validé par le Groupe Spécialisé le 18/09/2025</w:t>
      </w:r>
    </w:p>
    <w:p>
      <w:pPr/>
      <w:r>
        <w:rPr>
          <w:b/>
          <w:bCs/>
        </w:rPr>
        <w:t xml:space="preserve">Description</w:t>
      </w:r>
    </w:p>
    <w:p>
      <w:pPr/>
      <w:r>
        <w:rPr/>
        <w:t xml:space="preserve">En complément de la jurisprudence de décembre 2023 concernant la réalisation d’essais avec dalles sur plots, si revendiqué, le GS6 acte le protocole suivant : planche en contre-plaqué mise en place à 5 mm de la fenêtre avec un espace libre entre la planche et le mur du banc d’essais de 20 mm environ, des perçages de diamètre 24 mm seront réalisés tous les 500 mm.</w:t>
      </w:r>
    </w:p>
    <w:p>
      <w:pPr>
        <w:ind w:left="720" w:right="0"/>
      </w:pPr>
      <w:r>
        <w:rPr>
          <w:rStyle w:val="font_h2"/>
        </w:rPr>
        <w:t xml:space="preserve">8.70. 2025 (06) Ajout paragraphe concernant l’évaluation du risque de chute</w:t>
      </w:r>
    </w:p>
    <w:p>
      <w:pPr/>
      <w:r>
        <w:rPr/>
        <w:t xml:space="preserve">Validé par le Groupe Spécialisé le 18/09/2025</w:t>
      </w:r>
    </w:p>
    <w:p>
      <w:pPr/>
      <w:r>
        <w:rPr>
          <w:b/>
          <w:bCs/>
        </w:rPr>
        <w:t xml:space="preserve">Description</w:t>
      </w:r>
    </w:p>
    <w:p>
      <w:pPr/>
      <w:r>
        <w:rPr/>
        <w:t xml:space="preserve">Rappel de la jurisprudence de juin 2015 :Lorsque les feuillures d’ouvrant ou dormant ne répondent pas aux exigences du DTU 39 P5 § 4.2.3, la remarque suivante, sera ajoutée au § 2.1 Domaine d’emploi accepté de la partie Avis du DTA :« Le système tel que décrit dans le Dossier Technique ne répond pas aux exigences du DTU 39 P5 § 4.2.3, vis-à-vis de la sécurité aux chutes des personnes. » </w:t>
      </w:r>
    </w:p>
    <w:p>
      <w:pPr/>
      <w:r>
        <w:rPr/>
        <w:t xml:space="preserve">Cette jurisprudence est complétée de la manière suivante :Si deux essais de choc selon la NF P 08-302 (largeur mini et largeur maxi) sont réalisés dans le cadre de l’instruction, la remarque devient : « la sécurité aux chutes des personnes n’est pas évaluée dans le présent document. Il conviendra de l’’évaluer au cas par cas et de s’assurer du respect du calage du vitrage conformément au NF DTU 39 ou NF P 20-650-1 ».</w:t>
      </w:r>
    </w:p>
    <w:p>
      <w:pPr>
        <w:ind w:left="720" w:right="0"/>
      </w:pPr>
      <w:r>
        <w:rPr>
          <w:rStyle w:val="font_h2"/>
        </w:rPr>
        <w:t xml:space="preserve">8.71. 2025 (09) Classement minimum obtenu à l’essai de perméabilité à l’air sous gradient de température</w:t>
      </w:r>
    </w:p>
    <w:p>
      <w:pPr/>
      <w:r>
        <w:rPr/>
        <w:t xml:space="preserve">Validé par le Groupe Spécialisé le 16/10/2025</w:t>
      </w:r>
    </w:p>
    <w:p>
      <w:pPr/>
      <w:r>
        <w:rPr>
          <w:b/>
          <w:bCs/>
        </w:rPr>
        <w:t xml:space="preserve">Description</w:t>
      </w:r>
    </w:p>
    <w:p>
      <w:pPr/>
      <w:r>
        <w:rPr/>
        <w:t xml:space="preserve">Lors de l’essai de perméabilité sous gradient de température, les résultats suivants peuvent être obtenus : </w:t>
      </w:r>
    </w:p>
    <w:p>
      <w:pPr>
        <w:pPr/>
        <w:numPr>
          <w:ilvl w:val="0"/>
          <w:numId w:val="34"/>
        </w:numPr>
      </w:pPr>
      <w:r>
        <w:rPr/>
        <w:t xml:space="preserve">Classement A*3 : la justification est jugée recevable. </w:t>
      </w:r>
    </w:p>
    <w:p>
      <w:pPr>
        <w:pPr/>
        <w:numPr>
          <w:ilvl w:val="0"/>
          <w:numId w:val="34"/>
        </w:numPr>
      </w:pPr>
      <w:r>
        <w:rPr/>
        <w:t xml:space="preserve">Classement A*3 jusqu’à 450 Pa : la justification est présentable devant le GS6 qui jugera à dire d’experts. </w:t>
      </w:r>
    </w:p>
    <w:p>
      <w:pPr>
        <w:pPr/>
        <w:numPr>
          <w:ilvl w:val="0"/>
          <w:numId w:val="34"/>
        </w:numPr>
      </w:pPr>
      <w:r>
        <w:rPr/>
        <w:t xml:space="preserve">Classement inférieur à A*3 à 450 Pa : la justification n’est pas recevable.</w:t>
      </w:r>
    </w:p>
    <w:p>
      <w:pPr>
        <w:ind w:left="720" w:right="0"/>
      </w:pPr>
      <w:r>
        <w:rPr>
          <w:rStyle w:val="font_h2"/>
        </w:rPr>
        <w:t xml:space="preserve">8.72. 2025 (10) Protocole de maintenance des fenêtres respirantes</w:t>
      </w:r>
    </w:p>
    <w:p>
      <w:pPr/>
      <w:r>
        <w:rPr/>
        <w:t xml:space="preserve">Validé par le Groupe Spécialisé le 13/11/2025</w:t>
      </w:r>
    </w:p>
    <w:p>
      <w:pPr/>
      <w:r>
        <w:rPr>
          <w:b/>
          <w:bCs/>
        </w:rPr>
        <w:t xml:space="preserve">Description</w:t>
      </w:r>
    </w:p>
    <w:p>
      <w:pPr/>
      <w:r>
        <w:rPr/>
        <w:t xml:space="preserve">Les DTA de fenêtres respirantes devront dorénavant présenter le principe de maintenance de la partie respirante, en indiquant les contrôles, la régularité, la facilité d’accès, … </w:t>
      </w:r>
    </w:p>
    <w:p>
      <w:pPr/>
      <w:r>
        <w:rPr/>
        <w:t xml:space="preserve">Il sera ajouté au paragraphe « 2.5 Maintien en service du produit ou procédé », la maintenance prévue pour les fenêtres respirantes, dont notamment, le protocole précis de nettoyage et de changement de filtre.</w:t>
      </w:r>
    </w:p>
    <w:p>
      <w:pPr>
        <w:ind w:left="720" w:right="0"/>
      </w:pPr>
      <w:r>
        <w:rPr>
          <w:rStyle w:val="font_h2"/>
        </w:rPr>
        <w:t xml:space="preserve">8.73. 2025 (10) Couleur des stores dans les fenêtres respirantes</w:t>
      </w:r>
    </w:p>
    <w:p>
      <w:pPr/>
      <w:r>
        <w:rPr/>
        <w:t xml:space="preserve">Validé par le Groupe Spécialisé le 13/11/2025</w:t>
      </w:r>
    </w:p>
    <w:p>
      <w:pPr/>
      <w:r>
        <w:rPr>
          <w:b/>
          <w:bCs/>
        </w:rPr>
        <w:t xml:space="preserve">Description</w:t>
      </w:r>
    </w:p>
    <w:p>
      <w:pPr/>
      <w:r>
        <w:rPr/>
        <w:t xml:space="preserve">Dans les remarques complémentaires du GS, dans le cas des fenêtres respirantes, il conviendra d’ajouter la phrase suivante : « En présence d’un store de couleur foncée, une vigilance est à apporter vis à vis des températures atteintes dans la lame d’air respirante (voir paragraphe « 2.3 Dispositions de conception ») ».</w:t>
      </w:r>
    </w:p>
    <w:p>
      <w:pPr>
        <w:ind w:left="720" w:right="0"/>
      </w:pPr>
      <w:r>
        <w:rPr>
          <w:rStyle w:val="font_h2"/>
        </w:rPr>
        <w:t xml:space="preserve">8.74. 2025 (10) Intégration des vitrages simples dans les DTA</w:t>
      </w:r>
    </w:p>
    <w:p>
      <w:pPr/>
      <w:r>
        <w:rPr/>
        <w:t xml:space="preserve">Validé par le Groupe Spécialisé le 13/11/2025</w:t>
      </w:r>
    </w:p>
    <w:p>
      <w:pPr/>
      <w:r>
        <w:rPr>
          <w:b/>
          <w:bCs/>
        </w:rPr>
        <w:t xml:space="preserve">Description</w:t>
      </w:r>
    </w:p>
    <w:p>
      <w:pPr/>
      <w:r>
        <w:rPr/>
        <w:t xml:space="preserve">Plusieurs types de vitrages peuvent être revendiqués dans les DTA : </w:t>
      </w:r>
    </w:p>
    <w:p>
      <w:pPr>
        <w:pPr/>
        <w:numPr>
          <w:ilvl w:val="0"/>
          <w:numId w:val="35"/>
        </w:numPr>
      </w:pPr>
      <w:r>
        <w:rPr/>
        <w:t xml:space="preserve">les vitrages isolants doubles et/ou triples ; </w:t>
      </w:r>
    </w:p>
    <w:p>
      <w:pPr>
        <w:pPr/>
        <w:numPr>
          <w:ilvl w:val="0"/>
          <w:numId w:val="35"/>
        </w:numPr>
      </w:pPr>
      <w:r>
        <w:rPr/>
        <w:t xml:space="preserve">les vitrages isolants simples justifiant de performances thermiques (exemple : vitrages sous vide) ; </w:t>
      </w:r>
    </w:p>
    <w:p>
      <w:pPr>
        <w:pPr/>
        <w:numPr>
          <w:ilvl w:val="0"/>
          <w:numId w:val="35"/>
        </w:numPr>
      </w:pPr>
      <w:r>
        <w:rPr/>
        <w:t xml:space="preserve">les vitrages simples (non-isolant). </w:t>
      </w:r>
    </w:p>
    <w:p>
      <w:pPr/>
      <w:r>
        <w:rPr/>
        <w:t xml:space="preserve">Dans le cas des vitrages simples (non-isolant), le GS exige que le système prévoie une solution de récupération des eaux de condensation. </w:t>
      </w:r>
    </w:p>
    <w:p>
      <w:pPr/>
      <w:r>
        <w:rPr/>
        <w:t xml:space="preserve">Cependant, le GS prévoit dorénavant un cas ne nécessitant pas de récupération des eaux de condensation. </w:t>
      </w:r>
    </w:p>
    <w:p>
      <w:pPr/>
      <w:r>
        <w:rPr/>
        <w:t xml:space="preserve">Il s’agit du cas où l’utilisation des vitrages simples est exclusivement réservée à des locaux non chauffés. Dans ce cas les éléments suivants seront précisés dans le DTA : </w:t>
      </w:r>
    </w:p>
    <w:p>
      <w:pPr>
        <w:pPr/>
        <w:numPr>
          <w:ilvl w:val="0"/>
          <w:numId w:val="36"/>
        </w:numPr>
      </w:pPr>
      <w:r>
        <w:rPr/>
        <w:t xml:space="preserve">paragraphes « domaine d’emploi », « remarques du GS » et « vitrage » : une phrase complémentaire sera ajoutée, précisant que l’utilisation de vitrage simple est exclusivement réservée à des locaux non chauffés ; </w:t>
      </w:r>
    </w:p>
    <w:p>
      <w:pPr>
        <w:pPr/>
        <w:numPr>
          <w:ilvl w:val="0"/>
          <w:numId w:val="36"/>
        </w:numPr>
      </w:pPr>
      <w:r>
        <w:rPr/>
        <w:t xml:space="preserve">planches de profilés : les profilés concernés (parcloses de grande profondeur par exemple) seront identifiés par un astérisque stipulant « * : profilés réservés aux fenêtres mises en œuvre dans des pièces non chauffées ».</w:t>
      </w:r>
    </w:p>
    <w:p>
      <w:pPr>
        <w:ind w:left="720" w:right="0"/>
      </w:pPr>
      <w:r>
        <w:rPr>
          <w:rStyle w:val="font_h2"/>
        </w:rPr>
        <w:t xml:space="preserve">8.75. 2025 (10) Evolution de la liste exhaustive concernant la procédure d'évolutions mineures</w:t>
      </w:r>
    </w:p>
    <w:p>
      <w:pPr/>
      <w:r>
        <w:rPr/>
        <w:t xml:space="preserve">Validé par le Groupe Spécialisé le 13/11/2025</w:t>
      </w:r>
    </w:p>
    <w:p>
      <w:pPr/>
      <w:r>
        <w:rPr>
          <w:b/>
          <w:bCs/>
        </w:rPr>
        <w:t xml:space="preserve">Description</w:t>
      </w:r>
    </w:p>
    <w:p>
      <w:pPr/>
      <w:r>
        <w:rPr/>
        <w:t xml:space="preserve">Les propositions de modifications ont été examinées par le GS. La liste exhaustive sera mise à jour en conséquence et envoyée aux membres du GS.</w:t>
      </w:r>
    </w:p>
    <w:p>
      <w:pPr/>
      <w:r>
        <w:rPr/>
        <w:t xml:space="preserve">La liste des évolutions mineures « Simplification des DTA-AT du GS6_V3_2025 » est disponible au lien ci-dessous.</w:t>
      </w:r>
    </w:p>
    <w:p>
      <w:pPr>
        <w:ind w:left="720" w:right="0"/>
      </w:pPr>
      <w:r>
        <w:rPr>
          <w:rStyle w:val="font_h2"/>
        </w:rPr>
        <w:t xml:space="preserve">8.76. 2025 (12) Reformulation du paragraphe « Cas des dispositions PMR »</w:t>
      </w:r>
    </w:p>
    <w:p>
      <w:pPr/>
      <w:r>
        <w:rPr/>
        <w:t xml:space="preserve">Validé par le Groupe Spécialisé le 05/02/2026</w:t>
      </w:r>
    </w:p>
    <w:p>
      <w:pPr/>
      <w:r>
        <w:rPr>
          <w:b/>
          <w:bCs/>
        </w:rPr>
        <w:t xml:space="preserve">Description</w:t>
      </w:r>
    </w:p>
    <w:p>
      <w:pPr/>
      <w:r>
        <w:rPr/>
        <w:t xml:space="preserve">Dans le cas où une justification a été apportée vis à vis des systèmes sur plots, la phrase type du DTA est reformulée comme suit : « Des caillebotis mais aussi des systèmes sur plots (exemple : dalles) peuvent être utilisés dans le cadre de la mise en œuvre PMR selon le cahier du CSTB 3706_V2 (positionnés à une distance de 5 mm à 18 mm du nez de seuil) ».</w:t>
      </w:r>
    </w:p>
    <w:p>
      <w:pPr>
        <w:ind w:left="720" w:right="0"/>
      </w:pPr>
      <w:r>
        <w:rPr>
          <w:rStyle w:val="font_h2"/>
        </w:rPr>
        <w:t xml:space="preserve">8.77. 2025 (12) Eléments de preuves recevables concernant les DTA dont le domaine d'emploi couvre l'outremer (soumis à la réglementation paracyclonique)</w:t>
      </w:r>
    </w:p>
    <w:p>
      <w:pPr/>
      <w:r>
        <w:rPr/>
        <w:t xml:space="preserve">Validé par le Groupe Spécialisé le 05/02/2026</w:t>
      </w:r>
    </w:p>
    <w:p>
      <w:pPr/>
      <w:r>
        <w:rPr>
          <w:b/>
          <w:bCs/>
        </w:rPr>
        <w:t xml:space="preserve">Description</w:t>
      </w:r>
    </w:p>
    <w:p>
      <w:pPr/>
      <w:r>
        <w:rPr/>
        <w:t xml:space="preserve">Le CSTB a présenté le protocole d’essais rédigé retenu concernant la résistance aux chocs des fenêtres suite aux échanges de la dernière séance. Ce protocole est en pièce jointe du présent compte rendu et sera disponible sur le site de la CCFAT. Il est applicable à compter du 1er janvier pour tous les dossiers présentés en GS6 se revendiquant du domaine d’emploi visé.</w:t>
      </w:r>
    </w:p>
    <w:p>
      <w:pPr/>
      <w:r>
        <w:rPr/>
        <w:t xml:space="preserve">Le document « Protocole d’essai de résistance au choc des fenêtres » est disponible au lien ci-dessous.</w:t>
      </w:r>
    </w:p>
    <w:p>
      <w:pPr>
        <w:ind w:left="720" w:right="0"/>
      </w:pPr>
      <w:r>
        <w:rPr>
          <w:rStyle w:val="font_h2"/>
        </w:rPr>
        <w:t xml:space="preserve">8.78. 2026 (02) Accessibilité aux handicapés</w:t>
      </w:r>
    </w:p>
    <w:p>
      <w:pPr/>
      <w:r>
        <w:rPr/>
        <w:t xml:space="preserve">Validé par le Groupe Spécialisé le 19/03/2026</w:t>
      </w:r>
    </w:p>
    <w:p>
      <w:pPr/>
      <w:r>
        <w:rPr>
          <w:b/>
          <w:bCs/>
        </w:rPr>
        <w:t xml:space="preserve">Description</w:t>
      </w:r>
    </w:p>
    <w:p>
      <w:pPr/>
      <w:r>
        <w:rPr/>
        <w:t xml:space="preserve">Dans les cas où le seuil PMR n’incorpore pas de réservation spécifique pour le calfeutrement, le paragraphe 1.2.1.11 « Accessibilité aux handicapés » du DTA devient : « Ce système dispose d’une solution de seuil, qui sans avoir recours à une rampe amovible intérieure, pour peu qu’il soit encastré, permet l’accès aux handicapés au sens de l’arrêté du 30 novembre 2007. »</w:t>
      </w:r>
    </w:p>
    <w:p>
      <w:pPr>
        <w:ind w:left="720" w:right="0"/>
      </w:pPr>
      <w:r>
        <w:rPr>
          <w:rStyle w:val="font_h2"/>
        </w:rPr>
        <w:t xml:space="preserve">8.79. 2026 (03) Limitation du domaine d’emploi des systèmes prévoyant une mise en œuvre dans des panneaux sandwich</w:t>
      </w:r>
    </w:p>
    <w:p>
      <w:pPr/>
      <w:r>
        <w:rPr/>
        <w:t xml:space="preserve">Validé par le Groupe Spécialisé le 21/05/2026</w:t>
      </w:r>
    </w:p>
    <w:p>
      <w:pPr/>
      <w:r>
        <w:rPr>
          <w:b/>
          <w:bCs/>
        </w:rPr>
        <w:t xml:space="preserve">Description</w:t>
      </w:r>
    </w:p>
    <w:p>
      <w:pPr/>
      <w:r>
        <w:rPr/>
        <w:t xml:space="preserve">Rappel : le GS6 n’autorisait pas dans un même DTA des systèmes qui prévoyaient au domaine d’emploi une mise en œuvre sur panneaux sandwich et une mise en œuvre sur structure rigide.</w:t>
      </w:r>
    </w:p>
    <w:p>
      <w:pPr/>
      <w:r>
        <w:rPr/>
        <w:t xml:space="preserve">Le GS6 modifie sa position comme suit : le GS6 autorise dans un même DTA des systèmes qui prévoient une mise en œuvre par clippage et une mise en œuvre classique (vissage). Cela permet aux systèmes prévoyant une mise en œuvre par clippage de pouvoir revendiquer dans un même DTA le domaine d’emploi de mise en œuvre sur panneaux sandwich et sur structure rigide (sous réserve d’apporter toutes les justifications nécessaires).</w:t>
      </w:r>
    </w:p>
    <w:sectPr>
      <w:headerReference w:type="default" r:id="rId9"/>
      <w:footerReference w:type="default" r:id="rId10"/>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C798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391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DE5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C0E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71F7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9386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73CA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D620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F0E5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4618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9AD5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985D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CBC5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F19E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0CBE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EF23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ABA4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338D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A4E4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0C76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A76B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250A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B67F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3840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2373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81E2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09F4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DFF7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cfat.fr/produits-procedes/famille/443/"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2026-06-20T17:56:45+02:00</dcterms:created>
  <dcterms:modified xsi:type="dcterms:W3CDTF">2026-06-20T17:56:45+02:00</dcterms:modified>
</cp:coreProperties>
</file>

<file path=docProps/custom.xml><?xml version="1.0" encoding="utf-8"?>
<Properties xmlns="http://schemas.openxmlformats.org/officeDocument/2006/custom-properties" xmlns:vt="http://schemas.openxmlformats.org/officeDocument/2006/docPropsVTypes"/>
</file>