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aluminium à coupure thermique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aluminium (alliage, nature de la coupure thermique, fabricants) :</w:t>
      </w:r>
    </w:p>
    <w:p>
      <w:pPr>
        <w:pPr/>
        <w:numPr>
          <w:ilvl w:val="1"/>
          <w:numId w:val="11"/>
        </w:numPr>
      </w:pPr>
      <w:r>
        <w:rPr/>
        <w:t xml:space="preserve">Profilés principaux ;</w:t>
      </w:r>
    </w:p>
    <w:p>
      <w:pPr>
        <w:pPr/>
        <w:numPr>
          <w:ilvl w:val="1"/>
          <w:numId w:val="11"/>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w:t>
      </w:r>
    </w:p>
    <w:p>
      <w:pPr>
        <w:pPr/>
        <w:numPr>
          <w:ilvl w:val="0"/>
          <w:numId w:val="12"/>
        </w:numPr>
      </w:pPr>
      <w:r>
        <w:rPr/>
        <w:t xml:space="preserve">Profilés PVC ;</w:t>
      </w:r>
    </w:p>
    <w:p>
      <w:pPr>
        <w:pPr/>
        <w:numPr>
          <w:ilvl w:val="0"/>
          <w:numId w:val="12"/>
        </w:numPr>
      </w:pPr>
      <w:r>
        <w:rPr/>
        <w:t xml:space="preserve">Profilés mixtes ;</w:t>
      </w:r>
    </w:p>
    <w:p>
      <w:pPr>
        <w:pPr/>
        <w:numPr>
          <w:ilvl w:val="0"/>
          <w:numId w:val="12"/>
        </w:numPr>
      </w:pPr>
      <w:r>
        <w:rPr/>
        <w:t xml:space="preserv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Battements ;</w:t>
      </w:r>
    </w:p>
    <w:p>
      <w:pPr>
        <w:pPr/>
        <w:numPr>
          <w:ilvl w:val="1"/>
          <w:numId w:val="14"/>
        </w:numPr>
      </w:pPr>
      <w:r>
        <w:rPr/>
        <w:t xml:space="preserve">Traverses ;</w:t>
      </w:r>
    </w:p>
    <w:p>
      <w:pPr>
        <w:pPr/>
        <w:numPr>
          <w:ilvl w:val="1"/>
          <w:numId w:val="14"/>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Ferrage - Verrouillage</w:t>
      </w:r>
    </w:p>
    <w:p>
      <w:pPr>
        <w:ind w:left="720" w:right="0"/>
      </w:pPr>
      <w:r>
        <w:rPr>
          <w:rStyle w:val="font_h2"/>
        </w:rPr>
        <w:t xml:space="preserve">3.4.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Rupture de pont thermique</w:t>
      </w:r>
    </w:p>
    <w:p>
      <w:pPr>
        <w:ind w:left="1440" w:right="0"/>
      </w:pPr>
      <w:r>
        <w:rPr>
          <w:rStyle w:val="font_h3"/>
        </w:rPr>
        <w:t xml:space="preserve">4.1.4. Traitement de surface</w:t>
      </w:r>
    </w:p>
    <w:p>
      <w:pPr>
        <w:ind w:left="1440" w:right="0"/>
      </w:pPr>
      <w:r>
        <w:rPr>
          <w:rStyle w:val="font_h3"/>
        </w:rPr>
        <w:t xml:space="preserve">4.1.5. Assemblage des coupures thermiques</w:t>
      </w:r>
    </w:p>
    <w:p>
      <w:pPr>
        <w:ind w:left="1440" w:right="0"/>
      </w:pPr>
      <w:r>
        <w:rPr>
          <w:rStyle w:val="font_h3"/>
        </w:rPr>
        <w:t xml:space="preserve">4.1.6. Assemblage de fond de feuillure PVC</w:t>
      </w:r>
    </w:p>
    <w:p>
      <w:pPr>
        <w:ind w:left="720" w:right="0"/>
      </w:pPr>
      <w:r>
        <w:rPr>
          <w:rStyle w:val="font_h2"/>
        </w:rPr>
        <w:t xml:space="preserve">4.2. Assemblage des fenêtres</w:t>
      </w:r>
    </w:p>
    <w:p>
      <w:pPr>
        <w:ind w:left="720" w:right="0"/>
      </w:pPr>
      <w:r>
        <w:rPr>
          <w:rStyle w:val="font_h2"/>
        </w:rPr>
        <w:t xml:space="preserve">4.3. Autocontrôle</w:t>
      </w:r>
    </w:p>
    <w:p>
      <w:pPr>
        <w:ind w:left="1440" w:right="0"/>
      </w:pPr>
      <w:r>
        <w:rPr>
          <w:rStyle w:val="font_h3"/>
        </w:rPr>
        <w:t xml:space="preserve">4.3.1. Coupure thermique</w:t>
      </w:r>
    </w:p>
    <w:p>
      <w:pPr>
        <w:ind w:left="1440" w:right="0"/>
      </w:pPr>
      <w:r>
        <w:rPr>
          <w:rStyle w:val="font_h3"/>
        </w:rPr>
        <w:t xml:space="preserve">4.3.2. Profilés aluminium</w:t>
      </w:r>
    </w:p>
    <w:p>
      <w:pPr>
        <w:ind w:left="1440" w:right="0"/>
      </w:pPr>
      <w:r>
        <w:rPr>
          <w:rStyle w:val="font_h3"/>
        </w:rPr>
        <w:t xml:space="preserve">4.3.3. Profilés avec coupure thermique</w:t>
      </w:r>
    </w:p>
    <w:p>
      <w:pPr>
        <w:ind w:left="1440" w:right="0"/>
      </w:pPr>
      <w:r>
        <w:rPr>
          <w:rStyle w:val="font_h3"/>
        </w:rPr>
        <w:t xml:space="preserve">4.3.4. Profilés PVC</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Cf. e-cahier 3709_V2, NF DTU 36.5.</w:t>
      </w:r>
    </w:p>
    <w:p>
      <w:pPr/>
      <w:r>
        <w:rPr>
          <w:b/>
          <w:bCs/>
        </w:rPr>
        <w:t xml:space="preserve">Justification</w:t>
      </w:r>
    </w:p>
    <w:p>
      <w:pPr/>
      <w:r>
        <w:rPr/>
        <w:t xml:space="preserve">Fournir un dossier de plans illustrant toutes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Cf. e-cahier 3709_V2, NF DTU 36.5.</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5"/>
        </w:numPr>
      </w:pPr>
      <w:r>
        <w:rPr/>
        <w:t xml:space="preserve">Sur les constituants :</w:t>
      </w:r>
    </w:p>
    <w:p>
      <w:pPr>
        <w:pPr/>
        <w:numPr>
          <w:ilvl w:val="1"/>
          <w:numId w:val="15"/>
        </w:numPr>
      </w:pPr>
      <w:r>
        <w:rPr>
          <w:i/>
          <w:iCs/>
        </w:rPr>
        <w:t xml:space="preserve">profilés aluminium RPT (Cf NF EN 14024 + référentiel QB 49)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T54-405 ou de la norme NF EN 12608 avec en appui de cet engagement les justifications expérimentales (Engagement non nécessaire si la composition matière est certifiée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3706_V2, NF EN 14351-1+A2, NF P20-501, NF P20-302. NB : performances minimum demandées A2 E5A (ou E5B)VA2) ;</w:t>
      </w:r>
    </w:p>
    <w:p>
      <w:pPr>
        <w:pPr/>
        <w:numPr>
          <w:ilvl w:val="1"/>
          <w:numId w:val="15"/>
        </w:numPr>
      </w:pPr>
      <w:r>
        <w:rPr>
          <w:i/>
          <w:iCs/>
        </w:rPr>
        <w:t xml:space="preserve">fournir copie des essais de perméabilité à l’air sous gradient de température (si concerné) (Cf NF DTU 36.5 P2 – Annexe A) ;</w:t>
      </w:r>
    </w:p>
    <w:p>
      <w:pPr>
        <w:pPr/>
        <w:numPr>
          <w:ilvl w:val="1"/>
          <w:numId w:val="15"/>
        </w:numPr>
      </w:pPr>
      <w:r>
        <w:rPr>
          <w:i/>
          <w:iCs/>
        </w:rPr>
        <w:t xml:space="preserve">fournir les calculs thermiques (Cf Règles Th-Bât Fascicule Parois vitrées RE2020) ;</w:t>
      </w:r>
    </w:p>
    <w:p>
      <w:pPr>
        <w:pPr/>
        <w:numPr>
          <w:ilvl w:val="1"/>
          <w:numId w:val="15"/>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8.8.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9"/>
        </w:numPr>
      </w:pPr>
      <w:r>
        <w:rPr/>
        <w:t xml:space="preserve">Un profilé complémentaire est nécessaire afin de réaliser une zone de calfeutrement d'au moins 10 mm</w:t>
      </w:r>
    </w:p>
    <w:p>
      <w:pPr>
        <w:ind w:left="720" w:right="0"/>
      </w:pPr>
      <w:r>
        <w:rPr>
          <w:rStyle w:val="font_h2"/>
        </w:rPr>
        <w:t xml:space="preserve">8.10.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8.11.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8.12.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8.13.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("suivi fenêtre respirante").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3"/>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3"/>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4"/>
        </w:numPr>
      </w:pPr>
      <w:r>
        <w:rPr/>
        <w:t xml:space="preserve">Vis inox A2 pour la fixation d’éléments démontables.</w:t>
      </w:r>
    </w:p>
    <w:p>
      <w:pPr>
        <w:pPr/>
        <w:numPr>
          <w:ilvl w:val="0"/>
          <w:numId w:val="24"/>
        </w:numPr>
      </w:pPr>
      <w:r>
        <w:rPr/>
        <w:t xml:space="preserve">Vis zinguées de classe 4 selon la norme EN 1670 pour les éléments non démontables.</w:t>
      </w:r>
    </w:p>
    <w:p>
      <w:pPr>
        <w:ind w:left="720" w:right="0"/>
      </w:pPr>
      <w:r>
        <w:rPr>
          <w:rStyle w:val="font_h2"/>
        </w:rPr>
        <w:t xml:space="preserve">8.33.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8.34.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8.35.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8.36.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5"/>
        </w:numPr>
      </w:pPr>
      <w:r>
        <w:rPr/>
        <w:t xml:space="preserve">label Qualimarine avec alliage qualité bâtiment selon définition du DTU 33.1 ;</w:t>
      </w:r>
    </w:p>
    <w:p>
      <w:pPr/>
      <w:r>
        <w:rPr/>
        <w:t xml:space="preserve">ou bien</w:t>
      </w:r>
    </w:p>
    <w:p>
      <w:pPr>
        <w:pPr/>
        <w:numPr>
          <w:ilvl w:val="0"/>
          <w:numId w:val="26"/>
        </w:numPr>
      </w:pPr>
      <w:r>
        <w:rPr/>
        <w:t xml:space="preserve">label Qualicoat Seaside AA1 ou AA2 minimum avec alliage qualité bâtiment selon définition du DTU 33.1.</w:t>
      </w:r>
    </w:p>
    <w:p>
      <w:pPr>
        <w:ind w:left="720" w:right="0"/>
      </w:pPr>
      <w:r>
        <w:rPr>
          <w:rStyle w:val="font_h2"/>
        </w:rPr>
        <w:t xml:space="preserve">8.37.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7"/>
        </w:numPr>
      </w:pPr>
      <w:r>
        <w:rPr/>
        <w:t xml:space="preserve">Rc = recouvrement nominal du joint central ;</w:t>
      </w:r>
    </w:p>
    <w:p>
      <w:pPr>
        <w:pPr/>
        <w:numPr>
          <w:ilvl w:val="0"/>
          <w:numId w:val="27"/>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8"/>
        </w:numPr>
      </w:pPr>
      <w:r>
        <w:rPr/>
        <w:t xml:space="preserve">Réglage possible du recouvrement ouvrant/dormant en hauteur et largeur ± 1 mm et Ri ≥ 5 mmOU</w:t>
      </w:r>
    </w:p>
    <w:p>
      <w:pPr>
        <w:pPr/>
        <w:numPr>
          <w:ilvl w:val="0"/>
          <w:numId w:val="28"/>
        </w:numPr>
      </w:pPr>
      <w:r>
        <w:rPr/>
        <w:t xml:space="preserve">Réglage possible du recouvrement ouvrant/dormant en largeur ± 1 mm et Ri ≥ 8 mm</w:t>
      </w:r>
    </w:p>
    <w:p>
      <w:pPr/>
      <w:r>
        <w:rPr/>
        <w:t xml:space="preserve">Cas 3 : 3 ≤ Rc &lt; 4 mm</w:t>
      </w:r>
    </w:p>
    <w:p>
      <w:pPr>
        <w:pPr/>
        <w:numPr>
          <w:ilvl w:val="0"/>
          <w:numId w:val="29"/>
        </w:numPr>
      </w:pPr>
      <w:r>
        <w:rPr/>
        <w:t xml:space="preserve">Réglage possible du recouvrement ouvrant/dormant en hauteur et largeur ± 2 mm et Ri ≥ 5 mmOU</w:t>
      </w:r>
    </w:p>
    <w:p>
      <w:pPr>
        <w:pPr/>
        <w:numPr>
          <w:ilvl w:val="0"/>
          <w:numId w:val="29"/>
        </w:numPr>
      </w:pPr>
      <w:r>
        <w:rPr/>
        <w:t xml:space="preserve">Réglage possible du recouvrement ouvrant/dormant en largeur ± 1 mm et Ri ≥ 8 mm</w:t>
      </w:r>
    </w:p>
    <w:p>
      <w:pPr/>
      <w:r>
        <w:rPr/>
        <w:t xml:space="preserve">Ces dispositions permettent d'assurer :</w:t>
      </w:r>
    </w:p>
    <w:p>
      <w:pPr>
        <w:pPr/>
        <w:numPr>
          <w:ilvl w:val="0"/>
          <w:numId w:val="30"/>
        </w:numPr>
      </w:pPr>
      <w:r>
        <w:rPr/>
        <w:t xml:space="preserve">Un recouvrement effectif de la garniture de joint central ≥ 3 mm en partie basse et au niveau du battement central.</w:t>
      </w:r>
    </w:p>
    <w:p>
      <w:pPr>
        <w:pPr/>
        <w:numPr>
          <w:ilvl w:val="0"/>
          <w:numId w:val="30"/>
        </w:numPr>
      </w:pPr>
      <w:r>
        <w:rPr/>
        <w:t xml:space="preserve">Un recouvrement effectif de la garniture de joint central ≥ 1 mm sur les autres côtés.</w:t>
      </w:r>
    </w:p>
    <w:p>
      <w:pPr>
        <w:pPr/>
        <w:numPr>
          <w:ilvl w:val="0"/>
          <w:numId w:val="30"/>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8.38.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8.39.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8.40.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1"/>
        </w:numPr>
      </w:pPr>
      <w:r>
        <w:rPr/>
        <w:t xml:space="preserve">Garantir une constance de qualité de fabrication et une constance de la composition chimique.</w:t>
      </w:r>
    </w:p>
    <w:p>
      <w:pPr>
        <w:pPr/>
        <w:numPr>
          <w:ilvl w:val="0"/>
          <w:numId w:val="31"/>
        </w:numPr>
      </w:pPr>
      <w:r>
        <w:rPr/>
        <w:t xml:space="preserve">En cas de changement, informer le CSTB de toute modification de la composition de son produit.</w:t>
      </w:r>
    </w:p>
    <w:p>
      <w:pPr>
        <w:pPr/>
        <w:numPr>
          <w:ilvl w:val="0"/>
          <w:numId w:val="31"/>
        </w:numPr>
      </w:pPr>
      <w:r>
        <w:rPr/>
        <w:t xml:space="preserve">Assurer le contrôle qualité en fabrication garantissant les performances de son produit.</w:t>
      </w:r>
    </w:p>
    <w:p>
      <w:pPr>
        <w:ind w:left="720" w:right="0"/>
      </w:pPr>
      <w:r>
        <w:rPr>
          <w:rStyle w:val="font_h2"/>
        </w:rPr>
        <w:t xml:space="preserve">8.43.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8.44.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2"/>
        </w:numPr>
      </w:pPr>
      <w:r>
        <w:rPr/>
        <w:t xml:space="preserve">Pour tous les nouveaux systèmes ;</w:t>
      </w:r>
    </w:p>
    <w:p>
      <w:pPr>
        <w:pPr/>
        <w:numPr>
          <w:ilvl w:val="0"/>
          <w:numId w:val="32"/>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8.45.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8.46.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3"/>
        </w:numPr>
      </w:pPr>
      <w:r>
        <w:rPr/>
        <w:t xml:space="preserve">le préciser dans le paragraphe « domaine d’emploi », </w:t>
      </w:r>
    </w:p>
    <w:p>
      <w:pPr>
        <w:pPr/>
        <w:numPr>
          <w:ilvl w:val="0"/>
          <w:numId w:val="33"/>
        </w:numPr>
      </w:pPr>
      <w:r>
        <w:rPr/>
        <w:t xml:space="preserve">l’indiquer dans le paragraphe « remarques complémentaires du groupe spécialisé », </w:t>
      </w:r>
    </w:p>
    <w:p>
      <w:pPr>
        <w:pPr/>
        <w:numPr>
          <w:ilvl w:val="0"/>
          <w:numId w:val="33"/>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que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4"/>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4"/>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5"/>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5"/>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8.66.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8.67.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8.68.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8.69.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8.70.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8.71. 2025 (09) Classement minimum obtenu à l’essai de perméabilité à l’air sous gradient de température</w:t>
      </w:r>
    </w:p>
    <w:p>
      <w:pPr>
        <w:ind w:left="720" w:right="0"/>
      </w:pPr>
      <w:r>
        <w:rPr>
          <w:rStyle w:val="font_h2"/>
        </w:rPr>
        <w:t xml:space="preserve">8.72.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8.73.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8.74.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6"/>
        </w:numPr>
      </w:pPr>
      <w:r>
        <w:rPr/>
        <w:t xml:space="preserve">les vitrages isolants doubles et/ou triples ; </w:t>
      </w:r>
    </w:p>
    <w:p>
      <w:pPr>
        <w:pPr/>
        <w:numPr>
          <w:ilvl w:val="0"/>
          <w:numId w:val="36"/>
        </w:numPr>
      </w:pPr>
      <w:r>
        <w:rPr/>
        <w:t xml:space="preserve">les vitrages isolants simples justifiant de performances thermiques (exemple : vitrages sous vide) ; </w:t>
      </w:r>
    </w:p>
    <w:p>
      <w:pPr>
        <w:pPr/>
        <w:numPr>
          <w:ilvl w:val="0"/>
          <w:numId w:val="36"/>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7"/>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7"/>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8.75.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8.76. 2025 (12) Reformulation du paragraphe « Cas des dispositions PMR »</w:t>
      </w:r>
    </w:p>
    <w:p>
      <w:pPr>
        <w:ind w:left="720" w:right="0"/>
      </w:pPr>
      <w:r>
        <w:rPr>
          <w:rStyle w:val="font_h2"/>
        </w:rPr>
        <w:t xml:space="preserve">8.77. 2025 (12) Eléments de preuves recevables concernant les DTA dont le domaine d'emploi couvre l'outremer (soumis à la réglementation paracyclonique)</w:t>
      </w:r>
    </w:p>
    <w:p>
      <w:pPr>
        <w:ind w:left="720" w:right="0"/>
      </w:pPr>
      <w:r>
        <w:rPr>
          <w:rStyle w:val="font_h2"/>
        </w:rPr>
        <w:t xml:space="preserve">8.78. 2026 (02) Accessibilité aux handicapés</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1319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E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F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D5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C9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F3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55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C2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90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D8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48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030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4D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8CC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BD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75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D8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88E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B72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4A4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587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52A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4CE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78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09C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56D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226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F4A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305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2026-06-09T04:55:09+02:00</dcterms:created>
  <dcterms:modified xsi:type="dcterms:W3CDTF">2026-06-09T04:55:09+02:00</dcterms:modified>
</cp:coreProperties>
</file>

<file path=docProps/custom.xml><?xml version="1.0" encoding="utf-8"?>
<Properties xmlns="http://schemas.openxmlformats.org/officeDocument/2006/custom-properties" xmlns:vt="http://schemas.openxmlformats.org/officeDocument/2006/docPropsVTypes"/>
</file>