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PVC avec coffre intégré</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intérieurs,ITE, ossature bois ...) ;</w:t>
      </w:r>
    </w:p>
    <w:p>
      <w:pPr>
        <w:pPr/>
        <w:numPr>
          <w:ilvl w:val="0"/>
          <w:numId w:val="9"/>
        </w:numPr>
      </w:pPr>
      <w:r>
        <w:rPr/>
        <w:t xml:space="preserve">position du coffre par rapport au gros oeuvre (applique intérieure, nu extérieur, mi mur ....).</w:t>
      </w:r>
    </w:p>
    <w:p>
      <w:pPr/>
      <w:r>
        <w:rPr/>
        <w:t xml:space="preserve">Définir les types de Coffres objet de la demande d’Avis Technique :</w:t>
      </w:r>
    </w:p>
    <w:p>
      <w:pPr>
        <w:pPr/>
        <w:numPr>
          <w:ilvl w:val="0"/>
          <w:numId w:val="10"/>
        </w:numPr>
      </w:pPr>
      <w:r>
        <w:rPr/>
        <w:t xml:space="preserve">type de fermeture (volet roulant et/ou store vénitien extérieur) ;</w:t>
      </w:r>
    </w:p>
    <w:p>
      <w:pPr>
        <w:pPr/>
        <w:numPr>
          <w:ilvl w:val="0"/>
          <w:numId w:val="10"/>
        </w:numPr>
      </w:pPr>
      <w:r>
        <w:rPr/>
        <w:t xml:space="preserve">type de manœuvre ;</w:t>
      </w:r>
    </w:p>
    <w:p>
      <w:pPr>
        <w:pPr/>
        <w:numPr>
          <w:ilvl w:val="0"/>
          <w:numId w:val="10"/>
        </w:numPr>
      </w:pPr>
      <w:r>
        <w:rPr/>
        <w:t xml:space="preserve">dimensions extérieures, position de l’axe, diamètre géométrique intérieur ;</w:t>
      </w:r>
    </w:p>
    <w:p>
      <w:pPr>
        <w:pPr/>
        <w:numPr>
          <w:ilvl w:val="0"/>
          <w:numId w:val="10"/>
        </w:numPr>
      </w:pPr>
      <w:r>
        <w:rPr/>
        <w:t xml:space="preserve">longueur maximale donnée pour un coffre associé à une traverse haute de menuiserie ayant une rigidité de 6000 N.m² (somme des E.I des différents profilés avec E : module d’Young du matériau et I : inertie du profilé).</w:t>
      </w:r>
    </w:p>
    <w:p>
      <w:pPr/>
      <w:r>
        <w:rPr/>
        <w:t xml:space="preserve">Préciser le(s) lieu(x) géographique(s) où est envisagée la pose des coffres objet de la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coffres objet de la demande, pour notamment :</w:t>
      </w:r>
    </w:p>
    <w:p>
      <w:pPr>
        <w:pPr/>
        <w:numPr>
          <w:ilvl w:val="0"/>
          <w:numId w:val="11"/>
        </w:numPr>
      </w:pPr>
      <w:r>
        <w:rPr/>
        <w:t xml:space="preserve">Profilés PVC (compositions vinyliques et extrudeurs) :</w:t>
      </w:r>
    </w:p>
    <w:p>
      <w:pPr>
        <w:pPr/>
        <w:numPr>
          <w:ilvl w:val="1"/>
          <w:numId w:val="11"/>
        </w:numPr>
      </w:pPr>
      <w:r>
        <w:rPr/>
        <w:t xml:space="preserve">Profilés principaux ;</w:t>
      </w:r>
    </w:p>
    <w:p>
      <w:pPr>
        <w:pPr/>
        <w:numPr>
          <w:ilvl w:val="1"/>
          <w:numId w:val="11"/>
        </w:numPr>
      </w:pPr>
      <w:r>
        <w:rPr/>
        <w:t xml:space="preserve">Profilés secondaires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w:t>
      </w:r>
    </w:p>
    <w:p>
      <w:pPr/>
      <w:r>
        <w:rPr>
          <w:rStyle w:val="font_h1"/>
        </w:rPr>
        <w:t xml:space="preserve">3. Eléments</w:t>
      </w:r>
    </w:p>
    <w:p>
      <w:pPr>
        <w:ind w:left="720" w:right="0"/>
      </w:pPr>
      <w:r>
        <w:rPr>
          <w:rStyle w:val="font_h2"/>
        </w:rPr>
        <w:t xml:space="preserve">3.1. Cadre dormant</w:t>
      </w:r>
    </w:p>
    <w:p>
      <w:pPr/>
      <w:r>
        <w:rPr/>
        <w:t xml:space="preserve">Validé par le Groupe Spécialisé le 02/01/2018</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 </w:t>
      </w:r>
    </w:p>
    <w:p>
      <w:pPr/>
      <w:r>
        <w:rPr>
          <w:i/>
          <w:iCs/>
        </w:rPr>
        <w:t xml:space="preserve">Cf NF EN 14351-1 + A1 +A2// e-cahier CSTB 3625 // NF DTU 36.5 P1-1 et P1-2 // NF DTU 39 // XP P 20.650.</w:t>
      </w:r>
    </w:p>
    <w:p>
      <w:pPr/>
      <w:r>
        <w:rPr>
          <w:b/>
          <w:bCs/>
        </w:rPr>
        <w:t xml:space="preserve">Justification</w:t>
      </w:r>
    </w:p>
    <w:p>
      <w:pPr/>
      <w:r>
        <w:rPr/>
        <w:t xml:space="preserve">Renseigner au moins les éléments suivants:</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02/01/2018</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 + A1 +A2// e-cahier CSTB 3625 // NF DTU 36.5 P1-1 et P1-2 // NF DTU 39 // XP P 20.650.</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02/01/2018</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 + A1 +A2// e-cahier CSTB 3625 // NF DTU 36.5 P1-1 et P1-2 // NF DTU 39 // XP P 20.650.</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Eléments de coffres de volets roulants</w:t>
      </w:r>
    </w:p>
    <w:p>
      <w:pPr/>
      <w:r>
        <w:rPr/>
        <w:t xml:space="preserve">Validé par le Groupe Spécialisé le 02/01/2018</w:t>
      </w:r>
    </w:p>
    <w:p>
      <w:pPr/>
      <w:r>
        <w:rPr>
          <w:b/>
          <w:bCs/>
        </w:rPr>
        <w:t xml:space="preserve">Description</w:t>
      </w:r>
    </w:p>
    <w:p>
      <w:pPr/>
      <w:r>
        <w:rPr/>
        <w:t xml:space="preserve">Identifier et définir le matériau de tous les constituants des coffres objet de la demande, pour notamment :</w:t>
      </w:r>
    </w:p>
    <w:p>
      <w:pPr>
        <w:pPr/>
        <w:numPr>
          <w:ilvl w:val="0"/>
          <w:numId w:val="14"/>
        </w:numPr>
      </w:pPr>
      <w:r>
        <w:rPr/>
        <w:t xml:space="preserve">Profilés PVC (compositions vinyliques et extrudeurs) ;</w:t>
      </w:r>
    </w:p>
    <w:p>
      <w:pPr>
        <w:pPr/>
        <w:numPr>
          <w:ilvl w:val="0"/>
          <w:numId w:val="14"/>
        </w:numPr>
      </w:pPr>
      <w:r>
        <w:rPr/>
        <w:t xml:space="preserve">Les garnitures d’étanchéité et les accessoires (nature et fabricants) ;</w:t>
      </w:r>
    </w:p>
    <w:p>
      <w:pPr>
        <w:pPr/>
        <w:numPr>
          <w:ilvl w:val="0"/>
          <w:numId w:val="14"/>
        </w:numPr>
      </w:pPr>
      <w:r>
        <w:rPr/>
        <w:t xml:space="preserve">Les renforts (nature et dimensions) ;</w:t>
      </w:r>
    </w:p>
    <w:p>
      <w:pPr>
        <w:pPr/>
        <w:numPr>
          <w:ilvl w:val="0"/>
          <w:numId w:val="14"/>
        </w:numPr>
      </w:pPr>
      <w:r>
        <w:rPr/>
        <w:t xml:space="preserve">Tous les profilés et pièces complémentaires (nature et fabricants).</w:t>
      </w:r>
    </w:p>
    <w:p>
      <w:pPr/>
      <w:r>
        <w:rPr/>
        <w:t xml:space="preserve">Définir la fabrication des coffres, par la description des modalités d’assemblage et d’étanchéité ainsi que les liaisons avec les dormants de fenêtres.</w:t>
      </w:r>
    </w:p>
    <w:p>
      <w:pPr/>
      <w:r>
        <w:rPr>
          <w:b/>
          <w:bCs/>
        </w:rPr>
        <w:t xml:space="preserve">Justification</w:t>
      </w:r>
    </w:p>
    <w:p>
      <w:pPr/>
      <w:r>
        <w:rPr/>
        <w:t xml:space="preserve">Indiquer toutes les références.</w:t>
      </w:r>
    </w:p>
    <w:p>
      <w:pPr/>
      <w:r>
        <w:rPr/>
        <w:t xml:space="preserve">Fournir un dossier de plans illustrant tous les constituants des coffres objet de la demande.</w:t>
      </w:r>
    </w:p>
    <w:p>
      <w:pPr/>
      <w:r>
        <w:rPr>
          <w:rStyle w:val="font_h1"/>
        </w:rPr>
        <w:t xml:space="preserve">5. Fabrication</w:t>
      </w:r>
    </w:p>
    <w:p>
      <w:pPr>
        <w:ind w:left="720" w:right="0"/>
      </w:pPr>
      <w:r>
        <w:rPr>
          <w:rStyle w:val="font_h2"/>
        </w:rPr>
        <w:t xml:space="preserve">5.1. Extrusion des profilés PVC</w:t>
      </w:r>
    </w:p>
    <w:p>
      <w:pPr>
        <w:ind w:left="720" w:right="0"/>
      </w:pPr>
      <w:r>
        <w:rPr>
          <w:rStyle w:val="font_h2"/>
        </w:rPr>
        <w:t xml:space="preserve">5.2. Assemblage des fenêtres</w:t>
      </w:r>
    </w:p>
    <w:p>
      <w:pPr>
        <w:ind w:left="720" w:right="0"/>
      </w:pPr>
      <w:r>
        <w:rPr>
          <w:rStyle w:val="font_h2"/>
        </w:rPr>
        <w:t xml:space="preserve">5.3. Film</w:t>
      </w:r>
    </w:p>
    <w:p>
      <w:pPr>
        <w:ind w:left="720" w:right="0"/>
      </w:pPr>
      <w:r>
        <w:rPr>
          <w:rStyle w:val="font_h2"/>
        </w:rPr>
        <w:t xml:space="preserve">5.4. Plaxage des profilés</w:t>
      </w:r>
    </w:p>
    <w:p>
      <w:pPr/>
      <w:r>
        <w:rPr>
          <w:rStyle w:val="font_h1"/>
        </w:rPr>
        <w:t xml:space="preserve">6. Mise en oeuvre</w:t>
      </w:r>
    </w:p>
    <w:p>
      <w:pPr>
        <w:ind w:left="720" w:right="0"/>
      </w:pPr>
      <w:r>
        <w:rPr>
          <w:rStyle w:val="font_h2"/>
        </w:rPr>
        <w:t xml:space="preserve">6.1. Mise en oeuvre</w:t>
      </w:r>
    </w:p>
    <w:p>
      <w:pPr/>
      <w:r>
        <w:rPr/>
        <w:t xml:space="preserve">Validé par le Groupe Spécialisé le 02/01/2018</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6.2. Système d'étanchéité</w:t>
      </w:r>
    </w:p>
    <w:p>
      <w:pPr/>
      <w:r>
        <w:rPr/>
        <w:t xml:space="preserve">Validé par le Groupe Spécialisé le 02/01/2018</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3709.V2.</w:t>
      </w:r>
    </w:p>
    <w:p>
      <w:pPr/>
      <w:r>
        <w:rPr>
          <w:b/>
          <w:bCs/>
        </w:rPr>
        <w:t xml:space="preserve">Justification</w:t>
      </w:r>
    </w:p>
    <w:p>
      <w:pPr/>
      <w:r>
        <w:rPr/>
        <w:t xml:space="preserve">Fournir les justificatifs de compatibilité.</w:t>
      </w:r>
    </w:p>
    <w:p>
      <w:pPr>
        <w:ind w:left="720" w:right="0"/>
      </w:pPr>
      <w:r>
        <w:rPr>
          <w:rStyle w:val="font_h2"/>
        </w:rPr>
        <w:t xml:space="preserve">6.3.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6.4.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7. Résultats expérimentaux</w:t>
      </w:r>
    </w:p>
    <w:p>
      <w:pPr/>
      <w:r>
        <w:rPr/>
        <w:t xml:space="preserve">Validé par le Groupe Spécialisé le 02/01/2018</w:t>
      </w:r>
    </w:p>
    <w:p>
      <w:pPr/>
      <w:r>
        <w:rPr>
          <w:b/>
          <w:bCs/>
        </w:rPr>
        <w:t xml:space="preserve">Description</w:t>
      </w:r>
    </w:p>
    <w:p>
      <w:pPr/>
      <w:r>
        <w:rPr/>
        <w:t xml:space="preserve">Fournir copie des rapports d’essais de toute nature, en laboratoire ou in situ, sur les constituants ou sur les coffres pouvant apporter justification de l’aptitude à l’emploi du système évalué.</w:t>
      </w:r>
    </w:p>
    <w:p>
      <w:pPr/>
      <w:r>
        <w:rPr/>
        <w:t xml:space="preserve">Sur les constituants :</w:t>
      </w:r>
    </w:p>
    <w:p>
      <w:pPr>
        <w:pPr/>
        <w:numPr>
          <w:ilvl w:val="0"/>
          <w:numId w:val="15"/>
        </w:numPr>
      </w:pPr>
      <w:r>
        <w:rPr/>
        <w:t xml:space="preserve">coulisses formant fourrures d’épaisseur en PVC (</w:t>
      </w:r>
      <w:r>
        <w:rPr>
          <w:i/>
          <w:iCs/>
        </w:rPr>
        <w:t xml:space="preserve">Cf NF EN 12608+référentiel NF126</w:t>
      </w:r>
      <w:r>
        <w:rPr/>
        <w:t xml:space="preserve">) ;</w:t>
      </w:r>
    </w:p>
    <w:p>
      <w:pPr>
        <w:pPr/>
        <w:numPr>
          <w:ilvl w:val="0"/>
          <w:numId w:val="15"/>
        </w:numPr>
      </w:pPr>
      <w:r>
        <w:rPr/>
        <w:t xml:space="preserve">autres profilés PVC :</w:t>
      </w:r>
    </w:p>
    <w:p>
      <w:pPr>
        <w:pPr/>
        <w:numPr>
          <w:ilvl w:val="1"/>
          <w:numId w:val="15"/>
        </w:numPr>
      </w:pPr>
      <w:r>
        <w:rPr/>
        <w:t xml:space="preserve">essais chocs à froid à 6J (</w:t>
      </w:r>
      <w:r>
        <w:rPr>
          <w:i/>
          <w:iCs/>
        </w:rPr>
        <w:t xml:space="preserve">exigence : idem NF126</w:t>
      </w:r>
      <w:r>
        <w:rPr/>
        <w:t xml:space="preserve">) ;</w:t>
      </w:r>
    </w:p>
    <w:p>
      <w:pPr>
        <w:pPr/>
        <w:numPr>
          <w:ilvl w:val="1"/>
          <w:numId w:val="15"/>
        </w:numPr>
      </w:pPr>
      <w:r>
        <w:rPr/>
        <w:t xml:space="preserve">essais de retrait à 100°C (</w:t>
      </w:r>
      <w:r>
        <w:rPr>
          <w:i/>
          <w:iCs/>
        </w:rPr>
        <w:t xml:space="preserve">exigence : retrait inférieur à 3%</w:t>
      </w:r>
      <w:r>
        <w:rPr/>
        <w:t xml:space="preserve">) ;</w:t>
      </w:r>
    </w:p>
    <w:p>
      <w:pPr>
        <w:pPr/>
        <w:numPr>
          <w:ilvl w:val="1"/>
          <w:numId w:val="15"/>
        </w:numPr>
      </w:pPr>
      <w:r>
        <w:rPr/>
        <w:t xml:space="preserve">comportement après échauffement si coextrusion (</w:t>
      </w:r>
      <w:r>
        <w:rPr>
          <w:i/>
          <w:iCs/>
        </w:rPr>
        <w:t xml:space="preserve">Cf NF126</w:t>
      </w:r>
      <w:r>
        <w:rPr/>
        <w:t xml:space="preserve">) ;</w:t>
      </w:r>
    </w:p>
    <w:p>
      <w:pPr>
        <w:pPr/>
        <w:numPr>
          <w:ilvl w:val="1"/>
          <w:numId w:val="15"/>
        </w:numPr>
      </w:pPr>
      <w:r>
        <w:rPr/>
        <w:t xml:space="preserve">modalités d’essais selon NF EN 12608 ;</w:t>
      </w:r>
    </w:p>
    <w:p>
      <w:pPr>
        <w:pPr/>
        <w:numPr>
          <w:ilvl w:val="0"/>
          <w:numId w:val="15"/>
        </w:numPr>
      </w:pPr>
      <w:r>
        <w:rPr/>
        <w:t xml:space="preserve">garnitures d’étanchéité (Pour la partie active des profilés (hormis ceux en EPDM) qui assurent une fonction d’étanchéité, leur composition matière doit être conforme au référentiel de certification n°QB36.) ;</w:t>
      </w:r>
    </w:p>
    <w:p>
      <w:pPr>
        <w:pPr/>
        <w:numPr>
          <w:ilvl w:val="0"/>
          <w:numId w:val="15"/>
        </w:numPr>
      </w:pPr>
      <w:r>
        <w:rPr/>
        <w:t xml:space="preserve">profilés métalliques (Les profilés en acier doivent avoir un indice de protection contre la corrosion de Z275).</w:t>
      </w:r>
    </w:p>
    <w:p>
      <w:pPr/>
      <w:r>
        <w:rPr/>
        <w:t xml:space="preserve">Sur les coffres :</w:t>
      </w:r>
    </w:p>
    <w:p>
      <w:pPr>
        <w:pPr/>
        <w:numPr>
          <w:ilvl w:val="0"/>
          <w:numId w:val="16"/>
        </w:numPr>
      </w:pPr>
      <w:r>
        <w:rPr/>
        <w:t xml:space="preserve">fournir copie des essais de perméabilité à l’air réalisés (</w:t>
      </w:r>
      <w:r>
        <w:rPr>
          <w:i/>
          <w:iCs/>
        </w:rPr>
        <w:t xml:space="preserve">selon NF P 20-501 §6 : performance exigée : C3 selon NF P20-302</w:t>
      </w:r>
      <w:r>
        <w:rPr/>
        <w:t xml:space="preserve">) ;</w:t>
      </w:r>
    </w:p>
    <w:p>
      <w:pPr>
        <w:pPr/>
        <w:numPr>
          <w:ilvl w:val="0"/>
          <w:numId w:val="16"/>
        </w:numPr>
      </w:pPr>
      <w:r>
        <w:rPr/>
        <w:t xml:space="preserve">fournir copie des essais de résistance au vent (</w:t>
      </w:r>
      <w:r>
        <w:rPr>
          <w:i/>
          <w:iCs/>
        </w:rPr>
        <w:t xml:space="preserve">performance minimale exigé : FD DTU36.5 P3 §712</w:t>
      </w:r>
      <w:r>
        <w:rPr/>
        <w:t xml:space="preserve">) ;</w:t>
      </w:r>
    </w:p>
    <w:p>
      <w:pPr>
        <w:pPr/>
        <w:numPr>
          <w:ilvl w:val="0"/>
          <w:numId w:val="16"/>
        </w:numPr>
      </w:pPr>
      <w:r>
        <w:rPr/>
        <w:t xml:space="preserve">fournir justifications sur la flèche verticale de l’ensemble coffre+traverse haute de menuiserie (</w:t>
      </w:r>
      <w:r>
        <w:rPr>
          <w:i/>
          <w:iCs/>
        </w:rPr>
        <w:t xml:space="preserve">exigence : 2 mm maximum</w:t>
      </w:r>
      <w:r>
        <w:rPr/>
        <w:t xml:space="preserve">) ;</w:t>
      </w:r>
    </w:p>
    <w:p>
      <w:pPr>
        <w:pPr/>
        <w:numPr>
          <w:ilvl w:val="0"/>
          <w:numId w:val="16"/>
        </w:numPr>
      </w:pPr>
      <w:r>
        <w:rPr/>
        <w:t xml:space="preserve">fournir les calculs thermiques des différentes combinaisons (</w:t>
      </w:r>
      <w:r>
        <w:rPr>
          <w:i/>
          <w:iCs/>
        </w:rPr>
        <w:t xml:space="preserve">En cas de mise en oeuvre dans les bâtiments relevant encore de la RT 2005, ou pour les bâtiments existants, le coefficient de transmission thermique des coffres Uc devra être inférieur ou égal à 3W/m².K. A partir du 1er janvier 2018, en cas de mise en oeuvre dans les bâtiments existants relevant de la RT élément par élément, le coefficient de transmission thermique des coffres Uc devra être inférieur ou égal à 2,5 W/(m².K)</w:t>
      </w:r>
      <w:r>
        <w:rPr/>
        <w:t xml:space="preserve">).</w:t>
      </w:r>
    </w:p>
    <w:p>
      <w:pPr/>
      <w:r>
        <w:rPr/>
        <w:t xml:space="preserve">Fournir copie de rapport d’essais sur produit de calfeutrement ayant fait l’objet d’essais satisfaisants de compatibilité – cohésion/adhésion sur les profilés et accessoires en contact (</w:t>
      </w:r>
      <w:r>
        <w:rPr>
          <w:i/>
          <w:iCs/>
        </w:rPr>
        <w:t xml:space="preserve">NF EN ISO 8339</w:t>
      </w:r>
      <w:r>
        <w:rPr/>
        <w:t xml:space="preserve">).</w:t>
      </w:r>
    </w:p>
    <w:p>
      <w:pPr/>
      <w:r>
        <w:rPr/>
        <w:t xml:space="preserve">Etablir le lien avec le ou les ATEcs déjà délivrés au bénéfice du demandeur.</w:t>
      </w:r>
    </w:p>
    <w:p>
      <w:pPr/>
      <w:r>
        <w:rPr/>
        <w:t xml:space="preserve">Présenter les évolutions du système depuis sa création.</w:t>
      </w:r>
    </w:p>
    <w:p>
      <w:pPr/>
      <w:r>
        <w:rPr/>
        <w:t xml:space="preserve">Fréquences minimales de contrôles sur les profilés PVC (autres que les coulisses formant fourrure d’épaisseur) :</w:t>
      </w:r>
    </w:p>
    <w:p>
      <w:pPr>
        <w:pPr/>
        <w:numPr>
          <w:ilvl w:val="0"/>
          <w:numId w:val="17"/>
        </w:numPr>
      </w:pPr>
      <w:r>
        <w:rPr/>
        <w:t xml:space="preserve">Retrait à 100°C : 1 fois par 48h par extrudeuse ;</w:t>
      </w:r>
    </w:p>
    <w:p>
      <w:pPr>
        <w:pPr/>
        <w:numPr>
          <w:ilvl w:val="0"/>
          <w:numId w:val="17"/>
        </w:numPr>
      </w:pPr>
      <w:r>
        <w:rPr/>
        <w:t xml:space="preserve">Chocs à froid 6J : 1 fois par semaine ;</w:t>
      </w:r>
    </w:p>
    <w:p>
      <w:pPr>
        <w:pPr/>
        <w:numPr>
          <w:ilvl w:val="0"/>
          <w:numId w:val="17"/>
        </w:numPr>
      </w:pPr>
      <w:r>
        <w:rPr/>
        <w:t xml:space="preserve">Aspect, poids, dimensions, colorimétrie : 1 fois par poste et par extrudeuse.</w:t>
      </w:r>
    </w:p>
    <w:p>
      <w:pPr/>
      <w:r>
        <w:rPr/>
        <w:t xml:space="preserve">Fréquences de contrôles sur les coulisses formant fourrure en PVC (</w:t>
      </w:r>
      <w:r>
        <w:rPr>
          <w:i/>
          <w:iCs/>
        </w:rPr>
        <w:t xml:space="preserve">Cf NF126</w:t>
      </w:r>
      <w:r>
        <w:rPr/>
        <w:t xml:space="preserve">).</w:t>
      </w:r>
    </w:p>
    <w:p>
      <w:pPr/>
      <w:r>
        <w:rPr>
          <w:rStyle w:val="font_h1"/>
        </w:rPr>
        <w:t xml:space="preserve">8.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8"/>
        </w:numPr>
      </w:pPr>
      <w:r>
        <w:rPr/>
        <w:t xml:space="preserve">localiser et préciser les situations de pose ;</w:t>
      </w:r>
    </w:p>
    <w:p>
      <w:pPr>
        <w:pPr/>
        <w:numPr>
          <w:ilvl w:val="0"/>
          <w:numId w:val="18"/>
        </w:numPr>
      </w:pPr>
      <w:r>
        <w:rPr/>
        <w:t xml:space="preserve">identifier les types de coffres ;</w:t>
      </w:r>
    </w:p>
    <w:p>
      <w:pPr>
        <w:pPr/>
        <w:numPr>
          <w:ilvl w:val="0"/>
          <w:numId w:val="18"/>
        </w:numPr>
      </w:pPr>
      <w:r>
        <w:rPr/>
        <w:t xml:space="preserve">préciser les contacts susceptibles d’assister une visite chantier.</w:t>
      </w:r>
    </w:p>
    <w:p>
      <w:pPr/>
      <w:r>
        <w:rPr>
          <w:rStyle w:val="font_h1"/>
        </w:rPr>
        <w:t xml:space="preserve">9. Jurisprudences</w:t>
      </w:r>
    </w:p>
    <w:p>
      <w:pPr>
        <w:ind w:left="720" w:right="0"/>
      </w:pPr>
      <w:r>
        <w:rPr>
          <w:rStyle w:val="font_h2"/>
        </w:rPr>
        <w:t xml:space="preserve">9.1.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9.2.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9.3.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9.4.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9"/>
        </w:numPr>
      </w:pPr>
      <w:r>
        <w:rPr/>
        <w:t xml:space="preserve">difficulté de connaitre vraiment l’état des pattes de fixation,</w:t>
      </w:r>
    </w:p>
    <w:p>
      <w:pPr>
        <w:pPr/>
        <w:numPr>
          <w:ilvl w:val="0"/>
          <w:numId w:val="19"/>
        </w:numPr>
      </w:pPr>
      <w:r>
        <w:rPr/>
        <w:t xml:space="preserve">solution thermiquement très difficile à réaliser correctement vis-à-vis de la liaison entre le nouveau et l’ancien dormant,</w:t>
      </w:r>
    </w:p>
    <w:p>
      <w:pPr>
        <w:pPr/>
        <w:numPr>
          <w:ilvl w:val="0"/>
          <w:numId w:val="19"/>
        </w:numPr>
      </w:pPr>
      <w:r>
        <w:rPr/>
        <w:t xml:space="preserve">connaissance très difficile des matières PVC des anciens dormants et de leur état de conservation,</w:t>
      </w:r>
    </w:p>
    <w:p>
      <w:pPr>
        <w:pPr/>
        <w:numPr>
          <w:ilvl w:val="0"/>
          <w:numId w:val="19"/>
        </w:numPr>
      </w:pPr>
      <w:r>
        <w:rPr/>
        <w:t xml:space="preserve">compatibilité de ces matières avec les mastics de calfeutrement à utiliser,</w:t>
      </w:r>
    </w:p>
    <w:p>
      <w:pPr>
        <w:pPr/>
        <w:numPr>
          <w:ilvl w:val="0"/>
          <w:numId w:val="19"/>
        </w:numPr>
      </w:pPr>
      <w:r>
        <w:rPr/>
        <w:t xml:space="preserve">difficulté pour conserver le clair de vitrage.</w:t>
      </w:r>
    </w:p>
    <w:p>
      <w:pPr>
        <w:ind w:left="720" w:right="0"/>
      </w:pPr>
      <w:r>
        <w:rPr>
          <w:rStyle w:val="font_h2"/>
        </w:rPr>
        <w:t xml:space="preserve">9.5.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9.6.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9.7.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9.8.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9.9.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9.10.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9.11.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20"/>
        </w:numPr>
      </w:pPr>
      <w:r>
        <w:rPr/>
        <w:t xml:space="preserve">Un profilé complémentaire est nécessaire afin de réaliser une zone de calfeutrement d'au moins 10 mm</w:t>
      </w:r>
    </w:p>
    <w:p>
      <w:pPr>
        <w:ind w:left="720" w:right="0"/>
      </w:pPr>
      <w:r>
        <w:rPr>
          <w:rStyle w:val="font_h2"/>
        </w:rPr>
        <w:t xml:space="preserve">9.12.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21"/>
        </w:numPr>
      </w:pPr>
      <w:r>
        <w:rPr/>
        <w:t xml:space="preserve">Seuils aluminium sans rupteur thermique</w:t>
      </w:r>
    </w:p>
    <w:p>
      <w:pPr>
        <w:pPr/>
        <w:numPr>
          <w:ilvl w:val="0"/>
          <w:numId w:val="21"/>
        </w:numPr>
      </w:pPr>
      <w:r>
        <w:rPr/>
        <w:t xml:space="preserve">Chicanes de coulissant sans rupteur thermique</w:t>
      </w:r>
    </w:p>
    <w:p>
      <w:pPr>
        <w:pPr/>
        <w:numPr>
          <w:ilvl w:val="0"/>
          <w:numId w:val="21"/>
        </w:numPr>
      </w:pPr>
      <w:r>
        <w:rPr/>
        <w:t xml:space="preserve">Poignée de manœuvre traversante sans rupteur thermique</w:t>
      </w:r>
    </w:p>
    <w:p>
      <w:pPr>
        <w:pPr/>
        <w:numPr>
          <w:ilvl w:val="0"/>
          <w:numId w:val="21"/>
        </w:numPr>
      </w:pPr>
      <w:r>
        <w:rPr/>
        <w:t xml:space="preserve">Profilé d'ouvrant sans rupteur thermique en contact directe avec le battement extérieur métallique</w:t>
      </w:r>
    </w:p>
    <w:p>
      <w:pPr>
        <w:pPr/>
        <w:numPr>
          <w:ilvl w:val="0"/>
          <w:numId w:val="21"/>
        </w:numPr>
      </w:pPr>
      <w:r>
        <w:rPr/>
        <w:t xml:space="preserve">Profilé de coffre traversant sans rupteur thermique</w:t>
      </w:r>
    </w:p>
    <w:p>
      <w:pPr>
        <w:ind w:left="720" w:right="0"/>
      </w:pPr>
      <w:r>
        <w:rPr>
          <w:rStyle w:val="font_h2"/>
        </w:rPr>
        <w:t xml:space="preserve">9.13.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9.14.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9.15.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9.16.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9.17.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9.18.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9.19.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9.20.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9.21.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9.22.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2"/>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2"/>
        </w:numPr>
      </w:pPr>
      <w:r>
        <w:rPr/>
        <w:t xml:space="preserve">Suppression des tableaux thermiques renvoyés vers le rapport de calculs thermiques attestés conformes au DTA, cité au paragraphe B Résultats expérimentaux.</w:t>
      </w:r>
    </w:p>
    <w:p>
      <w:pPr>
        <w:pPr/>
        <w:numPr>
          <w:ilvl w:val="0"/>
          <w:numId w:val="22"/>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2"/>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3"/>
        </w:numPr>
      </w:pPr>
      <w:r>
        <w:rPr/>
        <w:t xml:space="preserve">Profilés PVC : suppression du lieu d’extrusion dans le cas des profilés NF126 ;</w:t>
      </w:r>
    </w:p>
    <w:p>
      <w:pPr>
        <w:pPr/>
        <w:numPr>
          <w:ilvl w:val="0"/>
          <w:numId w:val="23"/>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9.23.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4"/>
        </w:numPr>
      </w:pPr>
      <w:r>
        <w:rPr/>
        <w:t xml:space="preserve">la pièce 3D soit géométriquement identique à la pièce finale,</w:t>
      </w:r>
    </w:p>
    <w:p>
      <w:pPr>
        <w:pPr/>
        <w:numPr>
          <w:ilvl w:val="0"/>
          <w:numId w:val="24"/>
        </w:numPr>
      </w:pPr>
      <w:r>
        <w:rPr/>
        <w:t xml:space="preserve">une date de mise à disposition de la pièce finale soit arrêtée,</w:t>
      </w:r>
    </w:p>
    <w:p>
      <w:pPr>
        <w:pPr/>
        <w:numPr>
          <w:ilvl w:val="0"/>
          <w:numId w:val="24"/>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9.24.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9.25.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9.26.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9.27.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9.28.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9.29.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9.30.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9.31.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9.32.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9.33.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9.34.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9.35.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6"/>
        </w:numPr>
      </w:pPr>
      <w:r>
        <w:rPr/>
        <w:t xml:space="preserve">Vis inox A2 pour la fixation d’éléments démontables.</w:t>
      </w:r>
    </w:p>
    <w:p>
      <w:pPr>
        <w:pPr/>
        <w:numPr>
          <w:ilvl w:val="0"/>
          <w:numId w:val="26"/>
        </w:numPr>
      </w:pPr>
      <w:r>
        <w:rPr/>
        <w:t xml:space="preserve">Vis zinguées de classe 4 selon la norme EN 1670 pour les éléments non démontables.</w:t>
      </w:r>
    </w:p>
    <w:p>
      <w:pPr>
        <w:ind w:left="720" w:right="0"/>
      </w:pPr>
      <w:r>
        <w:rPr>
          <w:rStyle w:val="font_h2"/>
        </w:rPr>
        <w:t xml:space="preserve">9.36.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9.37.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9.38.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7"/>
        </w:numPr>
      </w:pPr>
      <w:r>
        <w:rPr/>
        <w:t xml:space="preserve">label Qualimarine avec alliage qualité bâtiment selon définition du DTU 33.1 ;</w:t>
      </w:r>
    </w:p>
    <w:p>
      <w:pPr/>
      <w:r>
        <w:rPr/>
        <w:t xml:space="preserve">ou bien</w:t>
      </w:r>
    </w:p>
    <w:p>
      <w:pPr>
        <w:pPr/>
        <w:numPr>
          <w:ilvl w:val="0"/>
          <w:numId w:val="28"/>
        </w:numPr>
      </w:pPr>
      <w:r>
        <w:rPr/>
        <w:t xml:space="preserve">label Qualicoat Seaside AA1 ou AA2 minimum avec alliage qualité bâtiment selon définition du DTU 33.1.</w:t>
      </w:r>
    </w:p>
    <w:p>
      <w:pPr>
        <w:ind w:left="720" w:right="0"/>
      </w:pPr>
      <w:r>
        <w:rPr>
          <w:rStyle w:val="font_h2"/>
        </w:rPr>
        <w:t xml:space="preserve">9.39.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9"/>
        </w:numPr>
      </w:pPr>
      <w:r>
        <w:rPr/>
        <w:t xml:space="preserve">Rc = recouvrement nominal du joint central ;</w:t>
      </w:r>
    </w:p>
    <w:p>
      <w:pPr>
        <w:pPr/>
        <w:numPr>
          <w:ilvl w:val="0"/>
          <w:numId w:val="29"/>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30"/>
        </w:numPr>
      </w:pPr>
      <w:r>
        <w:rPr/>
        <w:t xml:space="preserve">Réglage possible du recouvrement ouvrant/dormant en hauteur et largeur ± 1 mm et Ri ≥ 5 mmOU</w:t>
      </w:r>
    </w:p>
    <w:p>
      <w:pPr>
        <w:pPr/>
        <w:numPr>
          <w:ilvl w:val="0"/>
          <w:numId w:val="30"/>
        </w:numPr>
      </w:pPr>
      <w:r>
        <w:rPr/>
        <w:t xml:space="preserve">Réglage possible du recouvrement ouvrant/dormant en largeur ± 1 mm et Ri ≥ 8 mm</w:t>
      </w:r>
    </w:p>
    <w:p>
      <w:pPr/>
      <w:r>
        <w:rPr/>
        <w:t xml:space="preserve">Cas 3 : 3 ≤ Rc &lt; 4 mm</w:t>
      </w:r>
    </w:p>
    <w:p>
      <w:pPr>
        <w:pPr/>
        <w:numPr>
          <w:ilvl w:val="0"/>
          <w:numId w:val="31"/>
        </w:numPr>
      </w:pPr>
      <w:r>
        <w:rPr/>
        <w:t xml:space="preserve">Réglage possible du recouvrement ouvrant/dormant en hauteur et largeur ± 2 mm et Ri ≥ 5 mmOU</w:t>
      </w:r>
    </w:p>
    <w:p>
      <w:pPr>
        <w:pPr/>
        <w:numPr>
          <w:ilvl w:val="0"/>
          <w:numId w:val="31"/>
        </w:numPr>
      </w:pPr>
      <w:r>
        <w:rPr/>
        <w:t xml:space="preserve">Réglage possible du recouvrement ouvrant/dormant en largeur ± 1 mm et Ri ≥ 8 mm</w:t>
      </w:r>
    </w:p>
    <w:p>
      <w:pPr/>
      <w:r>
        <w:rPr/>
        <w:t xml:space="preserve">Ces dispositions permettent d'assurer :</w:t>
      </w:r>
    </w:p>
    <w:p>
      <w:pPr>
        <w:pPr/>
        <w:numPr>
          <w:ilvl w:val="0"/>
          <w:numId w:val="32"/>
        </w:numPr>
      </w:pPr>
      <w:r>
        <w:rPr/>
        <w:t xml:space="preserve">Un recouvrement effectif de la garniture de joint central ≥ 3 mm en partie basse et au niveau du battement central.</w:t>
      </w:r>
    </w:p>
    <w:p>
      <w:pPr>
        <w:pPr/>
        <w:numPr>
          <w:ilvl w:val="0"/>
          <w:numId w:val="32"/>
        </w:numPr>
      </w:pPr>
      <w:r>
        <w:rPr/>
        <w:t xml:space="preserve">Un recouvrement effectif de la garniture de joint central ≥ 1 mm sur les autres côtés.</w:t>
      </w:r>
    </w:p>
    <w:p>
      <w:pPr>
        <w:pPr/>
        <w:numPr>
          <w:ilvl w:val="0"/>
          <w:numId w:val="32"/>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9.40.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9.41.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9.42.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9.43.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9.44.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3"/>
        </w:numPr>
      </w:pPr>
      <w:r>
        <w:rPr/>
        <w:t xml:space="preserve">Garantir une constance de qualité de fabrication et une constance de la composition chimique.</w:t>
      </w:r>
    </w:p>
    <w:p>
      <w:pPr>
        <w:pPr/>
        <w:numPr>
          <w:ilvl w:val="0"/>
          <w:numId w:val="33"/>
        </w:numPr>
      </w:pPr>
      <w:r>
        <w:rPr/>
        <w:t xml:space="preserve">En cas de changement, informer le CSTB de toute modification de la composition de son produit.</w:t>
      </w:r>
    </w:p>
    <w:p>
      <w:pPr>
        <w:pPr/>
        <w:numPr>
          <w:ilvl w:val="0"/>
          <w:numId w:val="33"/>
        </w:numPr>
      </w:pPr>
      <w:r>
        <w:rPr/>
        <w:t xml:space="preserve">Assurer le contrôle qualité en fabrication garantissant les performances de son produit.</w:t>
      </w:r>
    </w:p>
    <w:p>
      <w:pPr>
        <w:ind w:left="720" w:right="0"/>
      </w:pPr>
      <w:r>
        <w:rPr>
          <w:rStyle w:val="font_h2"/>
        </w:rPr>
        <w:t xml:space="preserve">9.45.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9.46.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4"/>
        </w:numPr>
      </w:pPr>
      <w:r>
        <w:rPr/>
        <w:t xml:space="preserve">Pour tous les nouveaux systèmes ;</w:t>
      </w:r>
    </w:p>
    <w:p>
      <w:pPr>
        <w:pPr/>
        <w:numPr>
          <w:ilvl w:val="0"/>
          <w:numId w:val="34"/>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9.47. 2022 (10) Ensoleillement sur coffre avec lambrequin revêtu : valeur maximale de retrait au niveau des joues</w:t>
      </w:r>
    </w:p>
    <w:p>
      <w:pPr/>
      <w:r>
        <w:rPr/>
        <w:t xml:space="preserve">Validé par le Groupe Spécialisé le 16/11/2022</w:t>
      </w:r>
    </w:p>
    <w:p>
      <w:pPr/>
      <w:r>
        <w:rPr>
          <w:b/>
          <w:bCs/>
        </w:rPr>
        <w:t xml:space="preserve">Description</w:t>
      </w:r>
    </w:p>
    <w:p>
      <w:pPr/>
      <w:r>
        <w:rPr/>
        <w:t xml:space="preserve">Dans le cas d’un déclippage des planches, l’essai est jugé non satisfaisant et n’est pas présenté au GS.</w:t>
      </w:r>
    </w:p>
    <w:p>
      <w:pPr/>
      <w:r>
        <w:rPr/>
        <w:t xml:space="preserve">Concernant le retrait du lambrequin, compte tenu des essais déjà acceptés, le GS6 estime qu'un retrait supérieur à 2 mm est rédhibitoire.</w:t>
      </w:r>
    </w:p>
    <w:p>
      <w:pPr>
        <w:ind w:left="720" w:right="0"/>
      </w:pPr>
      <w:r>
        <w:rPr>
          <w:rStyle w:val="font_h2"/>
        </w:rPr>
        <w:t xml:space="preserve">9.48.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9.49.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9.50.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9.51.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9.52. 2023 (06) Les isolants dans les coffres CO20/ SECMI</w:t>
      </w:r>
    </w:p>
    <w:p>
      <w:pPr/>
      <w:r>
        <w:rPr/>
        <w:t xml:space="preserve">Validé par le Groupe Spécialisé le 14/09/2023</w:t>
      </w:r>
    </w:p>
    <w:p>
      <w:pPr/>
      <w:r>
        <w:rPr>
          <w:b/>
          <w:bCs/>
        </w:rPr>
        <w:t xml:space="preserve">Description</w:t>
      </w:r>
    </w:p>
    <w:p>
      <w:pPr/>
      <w:r>
        <w:rPr/>
        <w:t xml:space="preserve">Le GS6 confirme sa jurisprudence de juin 2011 : « Le CECMI confirme l'applicabilité de l'article CO20 aux coffres de volet roulant. L'article AM8 ne s'applique pas aux isolants intégrés dans les coffres de volet roulant. ».</w:t>
      </w:r>
    </w:p>
    <w:p>
      <w:pPr>
        <w:ind w:left="720" w:right="0"/>
      </w:pPr>
      <w:r>
        <w:rPr>
          <w:rStyle w:val="font_h2"/>
        </w:rPr>
        <w:t xml:space="preserve">9.53.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9.54.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9.55.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9.56.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9.57.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9.58.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5"/>
        </w:numPr>
      </w:pPr>
      <w:r>
        <w:rPr/>
        <w:t xml:space="preserve">le préciser dans le paragraphe « domaine d’emploi », </w:t>
      </w:r>
    </w:p>
    <w:p>
      <w:pPr>
        <w:pPr/>
        <w:numPr>
          <w:ilvl w:val="0"/>
          <w:numId w:val="35"/>
        </w:numPr>
      </w:pPr>
      <w:r>
        <w:rPr/>
        <w:t xml:space="preserve">l’indiquer dans le paragraphe « remarques complémentaires du groupe spécialisé », </w:t>
      </w:r>
    </w:p>
    <w:p>
      <w:pPr>
        <w:pPr/>
        <w:numPr>
          <w:ilvl w:val="0"/>
          <w:numId w:val="35"/>
        </w:numPr>
      </w:pPr>
      <w:r>
        <w:rPr/>
        <w:t xml:space="preserve">présenter dans le dossier publié un schéma montrant la mise en place de ce profilé et son interaction avec le gros œuvre.</w:t>
      </w:r>
    </w:p>
    <w:p>
      <w:pPr>
        <w:ind w:left="720" w:right="0"/>
      </w:pPr>
      <w:r>
        <w:rPr>
          <w:rStyle w:val="font_h2"/>
        </w:rPr>
        <w:t xml:space="preserve">9.59.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9.60.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9.61.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9.62.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9.63.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9.64. 2024 (03) Lame occultante</w:t>
      </w:r>
    </w:p>
    <w:p>
      <w:pPr/>
      <w:r>
        <w:rPr/>
        <w:t xml:space="preserve">Validé par le Groupe Spécialisé le 16/05/2024</w:t>
      </w:r>
    </w:p>
    <w:p>
      <w:pPr/>
      <w:r>
        <w:rPr>
          <w:b/>
          <w:bCs/>
        </w:rPr>
        <w:t xml:space="preserve">Description</w:t>
      </w:r>
    </w:p>
    <w:p>
      <w:pPr/>
      <w:r>
        <w:rPr/>
        <w:t xml:space="preserve">Les lames occultantes ne seront plus présentées dans les AT de coffre de volet roulant et/ou store vénitien extérieur.</w:t>
      </w:r>
    </w:p>
    <w:p>
      <w:pPr>
        <w:ind w:left="720" w:right="0"/>
      </w:pPr>
      <w:r>
        <w:rPr>
          <w:rStyle w:val="font_h2"/>
        </w:rPr>
        <w:t xml:space="preserve">9.65. 2024 (03) FDES des coffres</w:t>
      </w:r>
    </w:p>
    <w:p>
      <w:pPr/>
      <w:r>
        <w:rPr/>
        <w:t xml:space="preserve">Validé par le Groupe Spécialisé le 16/05/2024</w:t>
      </w:r>
    </w:p>
    <w:p>
      <w:pPr/>
      <w:r>
        <w:rPr>
          <w:b/>
          <w:bCs/>
        </w:rPr>
        <w:t xml:space="preserve">Description</w:t>
      </w:r>
    </w:p>
    <w:p>
      <w:pPr/>
      <w:r>
        <w:rPr/>
        <w:t xml:space="preserve">Seules les FDES incluant le coffre de volet seront prises en compte. Dans le cas où la FDES couvre un système complet, cela sera précisé.</w:t>
      </w:r>
    </w:p>
    <w:p>
      <w:pPr>
        <w:ind w:left="720" w:right="0"/>
      </w:pPr>
      <w:r>
        <w:rPr>
          <w:rStyle w:val="font_h2"/>
        </w:rPr>
        <w:t xml:space="preserve">9.66. 2024 (03) Entrées d’air</w:t>
      </w:r>
    </w:p>
    <w:p>
      <w:pPr/>
      <w:r>
        <w:rPr/>
        <w:t xml:space="preserve">Validé par le Groupe Spécialisé le 16/05/2024</w:t>
      </w:r>
    </w:p>
    <w:p>
      <w:pPr/>
      <w:r>
        <w:rPr>
          <w:b/>
          <w:bCs/>
        </w:rPr>
        <w:t xml:space="preserve">Description</w:t>
      </w:r>
    </w:p>
    <w:p>
      <w:pPr/>
      <w:r>
        <w:rPr/>
        <w:t xml:space="preserve">Dans le cas où le système de coffres de volets roulants et/ou stores vénitiens extérieurs ne permet pas de satisfaire aux exigences du cahier 3376_V3 de mars 2022, il sera ajouté la phrase suivante dans les remarques complémentaires du GS : « Ce système ne peut être mis en œuvre que dans des bâtiments équipés de système de ventilation de type double flux ou lorsque les entrées d’air sont mises en œuvre dans les murs. ».</w:t>
      </w:r>
    </w:p>
    <w:p>
      <w:pPr>
        <w:ind w:left="720" w:right="0"/>
      </w:pPr>
      <w:r>
        <w:rPr>
          <w:rStyle w:val="font_h2"/>
        </w:rPr>
        <w:t xml:space="preserve">9.67.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9.68.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6"/>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6"/>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9.69.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9.70.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9.71.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7"/>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7"/>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9.72.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9.73. 2024 (11) Efforts de manœuvres</w:t>
      </w:r>
    </w:p>
    <w:p>
      <w:pPr>
        <w:ind w:left="720" w:right="0"/>
      </w:pPr>
      <w:r>
        <w:rPr>
          <w:rStyle w:val="font_h2"/>
        </w:rPr>
        <w:t xml:space="preserve">9.74. 2025 (02) Justification de la compatibilité et de l’adhésivité-cohésion des mastics</w:t>
      </w:r>
    </w:p>
    <w:p>
      <w:pPr>
        <w:ind w:left="720" w:right="0"/>
      </w:pPr>
      <w:r>
        <w:rPr>
          <w:rStyle w:val="font_h2"/>
        </w:rPr>
        <w:t xml:space="preserve">9.75. 2025 (03) Protection de la traverse haute dans le cas des bardages ventilés</w:t>
      </w:r>
    </w:p>
    <w:p>
      <w:pPr>
        <w:ind w:left="720" w:right="0"/>
      </w:pPr>
      <w:r>
        <w:rPr>
          <w:rStyle w:val="font_h2"/>
        </w:rPr>
        <w:t xml:space="preserve">9.76. 2025 (06) Essais d’endurance ouverture-fermeture sur porte-fenêtre OB2</w:t>
      </w:r>
    </w:p>
    <w:p>
      <w:pPr>
        <w:ind w:left="720" w:right="0"/>
      </w:pPr>
      <w:r>
        <w:rPr>
          <w:rStyle w:val="font_h2"/>
        </w:rPr>
        <w:t xml:space="preserve">9.77. 2025 (06) Réalisation de l’essai à l’eau E* avec reconstitution de dalle sur plot</w:t>
      </w:r>
    </w:p>
    <w:p>
      <w:pPr>
        <w:ind w:left="720" w:right="0"/>
      </w:pPr>
      <w:r>
        <w:rPr>
          <w:rStyle w:val="font_h2"/>
        </w:rPr>
        <w:t xml:space="preserve">9.78. 2025 (06) Ajout paragraphe concernant l’évaluation du risque de chute</w:t>
      </w:r>
    </w:p>
    <w:p>
      <w:pPr>
        <w:ind w:left="720" w:right="0"/>
      </w:pPr>
      <w:r>
        <w:rPr>
          <w:rStyle w:val="font_h2"/>
        </w:rPr>
        <w:t xml:space="preserve">9.79. 2025 (09) Classement minimum obtenu à l’essai de perméabilité à l’air sous gradient de température</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B3C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6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5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3A4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5C4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44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8A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21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71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DE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36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6A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51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E5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23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AB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206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452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E24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DDB1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8E6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7CB7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1AF9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061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76A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857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358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472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E76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2025-12-03T02:37:33+01:00</dcterms:created>
  <dcterms:modified xsi:type="dcterms:W3CDTF">2025-12-03T02:37:33+01:00</dcterms:modified>
</cp:coreProperties>
</file>

<file path=docProps/custom.xml><?xml version="1.0" encoding="utf-8"?>
<Properties xmlns="http://schemas.openxmlformats.org/officeDocument/2006/custom-properties" xmlns:vt="http://schemas.openxmlformats.org/officeDocument/2006/docPropsVTypes"/>
</file>