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06 - Édité le 20/09/2026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06 « Composants de baies et vitrages »</w:t>
      </w:r>
    </w:p>
    <w:p>
      <w:pPr/>
      <w:r>
        <w:rPr>
          <w:rStyle w:val="font_default"/>
        </w:rPr>
        <w:t xml:space="preserve">Famille de produits ou procédés : </w:t>
      </w:r>
      <w:r>
        <w:rPr>
          <w:rStyle w:val="font_h3"/>
        </w:rPr>
        <w:t xml:space="preserve">Fenêtre à la française, oscillo battante ou à soufflet en PVC avec coffre intégré</w:t>
      </w:r>
    </w:p>
    <w:p>
      <w:pPr/>
      <w:r>
        <w:rPr>
          <w:rStyle w:val="font_h1"/>
        </w:rPr>
        <w:t xml:space="preserve">1. Principe</w:t>
      </w:r>
    </w:p>
    <w:p>
      <w:pPr/>
      <w:r>
        <w:rPr/>
        <w:t xml:space="preserve">Validé par le Groupe Spécialisé le 02/01/2018</w:t>
      </w:r>
    </w:p>
    <w:p>
      <w:pPr/>
      <w:r>
        <w:rPr>
          <w:b/>
          <w:bCs/>
        </w:rPr>
        <w:t xml:space="preserve">Description</w:t>
      </w:r>
    </w:p>
    <w:p>
      <w:pPr/>
      <w:r>
        <w:rPr/>
        <w:t xml:space="preserve">Préciser pour le produit objet de la demande :</w:t>
      </w:r>
    </w:p>
    <w:p>
      <w:pPr>
        <w:pPr/>
        <w:numPr>
          <w:ilvl w:val="0"/>
          <w:numId w:val="9"/>
        </w:numPr>
      </w:pPr>
      <w:r>
        <w:rPr/>
        <w:t xml:space="preserve">nature des travaux (neuf, rénovation...) ;</w:t>
      </w:r>
    </w:p>
    <w:p>
      <w:pPr>
        <w:pPr/>
        <w:numPr>
          <w:ilvl w:val="0"/>
          <w:numId w:val="9"/>
        </w:numPr>
      </w:pPr>
      <w:r>
        <w:rPr/>
        <w:t xml:space="preserve">types des gros-oeuvre visés (doublages intérieurs,ITE, ossature bois ...) ;</w:t>
      </w:r>
    </w:p>
    <w:p>
      <w:pPr>
        <w:pPr/>
        <w:numPr>
          <w:ilvl w:val="0"/>
          <w:numId w:val="9"/>
        </w:numPr>
      </w:pPr>
      <w:r>
        <w:rPr/>
        <w:t xml:space="preserve">position du coffre par rapport au gros oeuvre (applique intérieure, nu extérieur, mi mur ....).</w:t>
      </w:r>
    </w:p>
    <w:p>
      <w:pPr/>
      <w:r>
        <w:rPr/>
        <w:t xml:space="preserve">Définir les types de Coffres objet de la demande d’Avis Technique :</w:t>
      </w:r>
    </w:p>
    <w:p>
      <w:pPr>
        <w:pPr/>
        <w:numPr>
          <w:ilvl w:val="0"/>
          <w:numId w:val="10"/>
        </w:numPr>
      </w:pPr>
      <w:r>
        <w:rPr/>
        <w:t xml:space="preserve">type de fermeture (volet roulant et/ou store vénitien extérieur) ;</w:t>
      </w:r>
    </w:p>
    <w:p>
      <w:pPr>
        <w:pPr/>
        <w:numPr>
          <w:ilvl w:val="0"/>
          <w:numId w:val="10"/>
        </w:numPr>
      </w:pPr>
      <w:r>
        <w:rPr/>
        <w:t xml:space="preserve">type de manœuvre ;</w:t>
      </w:r>
    </w:p>
    <w:p>
      <w:pPr>
        <w:pPr/>
        <w:numPr>
          <w:ilvl w:val="0"/>
          <w:numId w:val="10"/>
        </w:numPr>
      </w:pPr>
      <w:r>
        <w:rPr/>
        <w:t xml:space="preserve">dimensions extérieures, position de l’axe, diamètre géométrique intérieur ;</w:t>
      </w:r>
    </w:p>
    <w:p>
      <w:pPr>
        <w:pPr/>
        <w:numPr>
          <w:ilvl w:val="0"/>
          <w:numId w:val="10"/>
        </w:numPr>
      </w:pPr>
      <w:r>
        <w:rPr/>
        <w:t xml:space="preserve">longueur maximale donnée pour un coffre associé à une traverse haute de menuiserie ayant une rigidité de 6000 N.m² (somme des E.I des différents profilés avec E : module d’Young du matériau et I : inertie du profilé).</w:t>
      </w:r>
    </w:p>
    <w:p>
      <w:pPr/>
      <w:r>
        <w:rPr/>
        <w:t xml:space="preserve">Préciser le(s) lieu(x) géographique(s) où est envisagée la pose des coffres objet de la demande.</w:t>
      </w:r>
    </w:p>
    <w:p>
      <w:pPr/>
      <w:r>
        <w:rPr>
          <w:rStyle w:val="font_h1"/>
        </w:rPr>
        <w:t xml:space="preserve">2. Matériaux</w:t>
      </w:r>
    </w:p>
    <w:p>
      <w:pPr>
        <w:ind w:left="720" w:right="0"/>
      </w:pPr>
      <w:r>
        <w:rPr>
          <w:rStyle w:val="font_h2"/>
        </w:rPr>
        <w:t xml:space="preserve">2.1. Profilés PVC</w:t>
      </w:r>
    </w:p>
    <w:p>
      <w:pPr/>
      <w:r>
        <w:rPr/>
        <w:t xml:space="preserve">Validé par le Groupe Spécialisé le 02/01/2018</w:t>
      </w:r>
    </w:p>
    <w:p>
      <w:pPr/>
      <w:r>
        <w:rPr>
          <w:b/>
          <w:bCs/>
        </w:rPr>
        <w:t xml:space="preserve">Description</w:t>
      </w:r>
    </w:p>
    <w:p>
      <w:pPr/>
      <w:r>
        <w:rPr/>
        <w:t xml:space="preserve">Identifier et définir le matériau de tous les constituants des coffres objet de la demande, pour notamment :</w:t>
      </w:r>
    </w:p>
    <w:p>
      <w:pPr>
        <w:pPr/>
        <w:numPr>
          <w:ilvl w:val="0"/>
          <w:numId w:val="11"/>
        </w:numPr>
      </w:pPr>
      <w:r>
        <w:rPr/>
        <w:t xml:space="preserve">Profilés PVC (compositions vinyliques et extrudeurs) :</w:t>
      </w:r>
    </w:p>
    <w:p>
      <w:pPr>
        <w:pPr/>
        <w:numPr>
          <w:ilvl w:val="1"/>
          <w:numId w:val="11"/>
        </w:numPr>
      </w:pPr>
      <w:r>
        <w:rPr/>
        <w:t xml:space="preserve">Profilés principaux ;</w:t>
      </w:r>
    </w:p>
    <w:p>
      <w:pPr>
        <w:pPr/>
        <w:numPr>
          <w:ilvl w:val="1"/>
          <w:numId w:val="11"/>
        </w:numPr>
      </w:pPr>
      <w:r>
        <w:rPr/>
        <w:t xml:space="preserve">Profilés secondaires ;</w:t>
      </w:r>
    </w:p>
    <w:p>
      <w:pPr>
        <w:pPr/>
        <w:numPr>
          <w:ilvl w:val="1"/>
          <w:numId w:val="11"/>
        </w:numPr>
      </w:pPr>
      <w:r>
        <w:rPr/>
        <w:t xml:space="preserve">Films colorés.</w:t>
      </w:r>
    </w:p>
    <w:p>
      <w:pPr/>
      <w:r>
        <w:rPr>
          <w:b/>
          <w:bCs/>
        </w:rPr>
        <w:t xml:space="preserve">Justification</w:t>
      </w:r>
    </w:p>
    <w:p>
      <w:pPr/>
      <w:r>
        <w:rPr/>
        <w:t xml:space="preserve">Indiquer toutes les références.</w:t>
      </w:r>
    </w:p>
    <w:p>
      <w:pPr/>
      <w:r>
        <w:rPr/>
        <w:t xml:space="preserve">Fournir un dossier de plans illustrant tous les constituants des fenêtres objet de la demande.</w:t>
      </w:r>
    </w:p>
    <w:p>
      <w:pPr>
        <w:ind w:left="720" w:right="0"/>
      </w:pPr>
      <w:r>
        <w:rPr>
          <w:rStyle w:val="font_h2"/>
        </w:rPr>
        <w:t xml:space="preserve">2.2. Profilés métalliques</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toutes les références.</w:t>
      </w:r>
    </w:p>
    <w:p>
      <w:pPr/>
      <w:r>
        <w:rPr/>
        <w:t xml:space="preserve">Fournir un dossier de plans illustrant tous les constituants des fenêtres objet de la demande.</w:t>
      </w:r>
    </w:p>
    <w:p>
      <w:pPr>
        <w:ind w:left="720" w:right="0"/>
      </w:pPr>
      <w:r>
        <w:rPr>
          <w:rStyle w:val="font_h2"/>
        </w:rPr>
        <w:t xml:space="preserve">2.3. Profilés complémentaires d'étanchéité</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natures et fabricants.</w:t>
      </w:r>
    </w:p>
    <w:p>
      <w:pPr/>
      <w:r>
        <w:rPr/>
        <w:t xml:space="preserve">Fournir un dossier de plans illustrant tous les constituants des fenêtres objet de la demande.</w:t>
      </w:r>
    </w:p>
    <w:p>
      <w:pPr>
        <w:ind w:left="720" w:right="0"/>
      </w:pPr>
      <w:r>
        <w:rPr>
          <w:rStyle w:val="font_h2"/>
        </w:rPr>
        <w:t xml:space="preserve">2.4. Accessoires et pièces complémentaires</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nature et fabricants.</w:t>
      </w:r>
    </w:p>
    <w:p>
      <w:pPr/>
      <w:r>
        <w:rPr/>
        <w:t xml:space="preserve">Fournir un dossier de plans illustrant tous les constituants des fenêtres objet de la demande.</w:t>
      </w:r>
    </w:p>
    <w:p>
      <w:pPr>
        <w:ind w:left="720" w:right="0"/>
      </w:pPr>
      <w:r>
        <w:rPr>
          <w:rStyle w:val="font_h2"/>
        </w:rPr>
        <w:t xml:space="preserve">2.5. Quincaillerie</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origines et recensement.</w:t>
      </w:r>
    </w:p>
    <w:p>
      <w:pPr/>
      <w:r>
        <w:rPr/>
        <w:t xml:space="preserve">Fournir un dossier de plans illustrant tous les constituants des fenêtres objet de la demande.</w:t>
      </w:r>
    </w:p>
    <w:p>
      <w:pPr>
        <w:ind w:left="720" w:right="0"/>
      </w:pPr>
      <w:r>
        <w:rPr>
          <w:rStyle w:val="font_h2"/>
        </w:rPr>
        <w:t xml:space="preserve">2.6. Vitrage</w:t>
      </w:r>
    </w:p>
    <w:p>
      <w:pPr/>
      <w:r>
        <w:rPr>
          <w:rStyle w:val="font_h1"/>
        </w:rPr>
        <w:t xml:space="preserve">3. Eléments</w:t>
      </w:r>
    </w:p>
    <w:p>
      <w:pPr>
        <w:ind w:left="720" w:right="0"/>
      </w:pPr>
      <w:r>
        <w:rPr>
          <w:rStyle w:val="font_h2"/>
        </w:rPr>
        <w:t xml:space="preserve">3.1. Cadre dormant</w:t>
      </w:r>
    </w:p>
    <w:p>
      <w:pPr/>
      <w:r>
        <w:rPr/>
        <w:t xml:space="preserve">Validé par le Groupe Spécialisé le 13/03/2025</w:t>
      </w:r>
    </w:p>
    <w:p>
      <w:pPr/>
      <w:r>
        <w:rPr>
          <w:b/>
          <w:bCs/>
        </w:rPr>
        <w:t xml:space="preserve">Description</w:t>
      </w:r>
    </w:p>
    <w:p>
      <w:pPr/>
      <w:r>
        <w:rPr/>
        <w:t xml:space="preserve">Définir la fabrication des cadres dormants, par la description des modalités d’assemblage, d’étanchéité, de drainage et équilibrage de pression ainsi que les prises de volumes qui sont envisagées. </w:t>
      </w:r>
    </w:p>
    <w:p>
      <w:pPr/>
      <w:r>
        <w:rPr>
          <w:i/>
          <w:iCs/>
        </w:rPr>
        <w:t xml:space="preserve">Cf NF EN 14351-1+A2// e-cahier CSTB 3625 // NF DTU 36.5 P1-1 et P1-2 // NF DTU 39 // NF P 20-650-1.</w:t>
      </w:r>
    </w:p>
    <w:p>
      <w:pPr/>
      <w:r>
        <w:rPr>
          <w:b/>
          <w:bCs/>
        </w:rPr>
        <w:t xml:space="preserve">Justification</w:t>
      </w:r>
    </w:p>
    <w:p>
      <w:pPr/>
      <w:r>
        <w:rPr/>
        <w:t xml:space="preserve">Renseigner au moins les éléments suivants:</w:t>
      </w:r>
    </w:p>
    <w:p>
      <w:pPr>
        <w:pPr/>
        <w:numPr>
          <w:ilvl w:val="0"/>
          <w:numId w:val="12"/>
        </w:numPr>
      </w:pPr>
      <w:r>
        <w:rPr/>
        <w:t xml:space="preserve">Cadre dormant :</w:t>
      </w:r>
    </w:p>
    <w:p>
      <w:pPr>
        <w:pPr/>
        <w:numPr>
          <w:ilvl w:val="1"/>
          <w:numId w:val="12"/>
        </w:numPr>
      </w:pPr>
      <w:r>
        <w:rPr/>
        <w:t xml:space="preserve">Meneaux ;</w:t>
      </w:r>
    </w:p>
    <w:p>
      <w:pPr>
        <w:pPr/>
        <w:numPr>
          <w:ilvl w:val="1"/>
          <w:numId w:val="12"/>
        </w:numPr>
      </w:pPr>
      <w:r>
        <w:rPr/>
        <w:t xml:space="preserve">Drainage ;</w:t>
      </w:r>
    </w:p>
    <w:p>
      <w:pPr>
        <w:pPr/>
        <w:numPr>
          <w:ilvl w:val="1"/>
          <w:numId w:val="12"/>
        </w:numPr>
      </w:pPr>
      <w:r>
        <w:rPr/>
        <w:t xml:space="preserve">Équilibrage de pression ;</w:t>
      </w:r>
    </w:p>
    <w:p>
      <w:pPr>
        <w:pPr/>
        <w:numPr>
          <w:ilvl w:val="1"/>
          <w:numId w:val="12"/>
        </w:numPr>
      </w:pPr>
      <w:r>
        <w:rPr/>
        <w:t xml:space="preserve">Fourrures d'épaisseur.</w:t>
      </w:r>
    </w:p>
    <w:p>
      <w:pPr/>
      <w:r>
        <w:rPr/>
        <w:t xml:space="preserve">Fournir un dossier de plans illustrant toutes les modalités de fabrication des cadres dormants des fenêtres objet de la demande.</w:t>
      </w:r>
    </w:p>
    <w:p>
      <w:pPr>
        <w:ind w:left="720" w:right="0"/>
      </w:pPr>
      <w:r>
        <w:rPr>
          <w:rStyle w:val="font_h2"/>
        </w:rPr>
        <w:t xml:space="preserve">3.2. Cadre ouvrant</w:t>
      </w:r>
    </w:p>
    <w:p>
      <w:pPr/>
      <w:r>
        <w:rPr/>
        <w:t xml:space="preserve">Validé par le Groupe Spécialisé le 13/03/2025</w:t>
      </w:r>
    </w:p>
    <w:p>
      <w:pPr/>
      <w:r>
        <w:rPr>
          <w:b/>
          <w:bCs/>
        </w:rPr>
        <w:t xml:space="preserve">Description</w:t>
      </w:r>
    </w:p>
    <w:p>
      <w:pPr/>
      <w:r>
        <w:rPr/>
        <w:t xml:space="preserve">Définir la fabrication des cadres ouvrants, par la description des modalités d’assemblage, d’étanchéité, de drainage et équilibrage de pression ainsi que les prises de volumes qui sont envisagées.</w:t>
      </w:r>
    </w:p>
    <w:p>
      <w:pPr/>
      <w:r>
        <w:rPr>
          <w:i/>
          <w:iCs/>
        </w:rPr>
        <w:t xml:space="preserve">Cf NF EN 14351-1+A2// e-cahier CSTB 3625 // NF DTU 36.5 P1-1 et P1-2 // NF DTU 39 // NF P 20-650-1.</w:t>
      </w:r>
    </w:p>
    <w:p>
      <w:pPr/>
      <w:r>
        <w:rPr>
          <w:b/>
          <w:bCs/>
        </w:rPr>
        <w:t xml:space="preserve">Justification</w:t>
      </w:r>
    </w:p>
    <w:p>
      <w:pPr/>
      <w:r>
        <w:rPr/>
        <w:t xml:space="preserve">Renseigner au moins les éléments suivants: </w:t>
      </w:r>
    </w:p>
    <w:p>
      <w:pPr>
        <w:pPr/>
        <w:numPr>
          <w:ilvl w:val="0"/>
          <w:numId w:val="13"/>
        </w:numPr>
      </w:pPr>
      <w:r>
        <w:rPr/>
        <w:t xml:space="preserve">Cadre ouvrant :</w:t>
      </w:r>
    </w:p>
    <w:p>
      <w:pPr>
        <w:pPr/>
        <w:numPr>
          <w:ilvl w:val="1"/>
          <w:numId w:val="13"/>
        </w:numPr>
      </w:pPr>
      <w:r>
        <w:rPr/>
        <w:t xml:space="preserve">Battements ;</w:t>
      </w:r>
    </w:p>
    <w:p>
      <w:pPr>
        <w:pPr/>
        <w:numPr>
          <w:ilvl w:val="1"/>
          <w:numId w:val="13"/>
        </w:numPr>
      </w:pPr>
      <w:r>
        <w:rPr/>
        <w:t xml:space="preserve">Traverses ;</w:t>
      </w:r>
    </w:p>
    <w:p>
      <w:pPr>
        <w:pPr/>
        <w:numPr>
          <w:ilvl w:val="1"/>
          <w:numId w:val="13"/>
        </w:numPr>
      </w:pPr>
      <w:r>
        <w:rPr/>
        <w:t xml:space="preserve">Drainage.</w:t>
      </w:r>
    </w:p>
    <w:p>
      <w:pPr/>
      <w:r>
        <w:rPr/>
        <w:t xml:space="preserve">Fournir un dossier de plans illustrant toutes les modalités de fabrication des cadres ouvrants des fenêtres objet de la demande.</w:t>
      </w:r>
    </w:p>
    <w:p>
      <w:pPr>
        <w:ind w:left="720" w:right="0"/>
      </w:pPr>
      <w:r>
        <w:rPr>
          <w:rStyle w:val="font_h2"/>
        </w:rPr>
        <w:t xml:space="preserve">3.3. Assemblage mécanique</w:t>
      </w:r>
    </w:p>
    <w:p>
      <w:pPr/>
      <w:r>
        <w:rPr/>
        <w:t xml:space="preserve">Validé par le Groupe Spécialisé le 13/03/2025</w:t>
      </w:r>
    </w:p>
    <w:p>
      <w:pPr/>
      <w:r>
        <w:rPr>
          <w:b/>
          <w:bCs/>
        </w:rPr>
        <w:t xml:space="preserve">Description</w:t>
      </w:r>
    </w:p>
    <w:p>
      <w:pPr/>
      <w:r>
        <w:rPr/>
        <w:t xml:space="preserve">Définir la fabrication des cadres (ouvrants dormants), par la description des modalités d’assemblage, d’étanchéité, de drainage et équilibrage de pression ainsi que les prises de volumes qui sont envisagées.</w:t>
      </w:r>
    </w:p>
    <w:p>
      <w:pPr/>
      <w:r>
        <w:rPr>
          <w:i/>
          <w:iCs/>
        </w:rPr>
        <w:t xml:space="preserve">Cf NF EN 14351-1+A2// e-cahier CSTB 3625 // NF DTU 36.5 P1-1 et P1-2 // NF DTU 39 // NF P 20-650-1.</w:t>
      </w:r>
    </w:p>
    <w:p>
      <w:pPr/>
      <w:r>
        <w:rPr>
          <w:b/>
          <w:bCs/>
        </w:rPr>
        <w:t xml:space="preserve">Justification</w:t>
      </w:r>
    </w:p>
    <w:p>
      <w:pPr/>
      <w:r>
        <w:rPr/>
        <w:t xml:space="preserve">Fournir un dossier de plans illustrant toutes les modalités de fabrication des cadres (ouvrants et dormants) des fenêtres objet de la demande.</w:t>
      </w:r>
    </w:p>
    <w:p>
      <w:pPr>
        <w:ind w:left="720" w:right="0"/>
      </w:pPr>
      <w:r>
        <w:rPr>
          <w:rStyle w:val="font_h2"/>
        </w:rPr>
        <w:t xml:space="preserve">3.4. Renforts</w:t>
      </w:r>
    </w:p>
    <w:p>
      <w:pPr>
        <w:ind w:left="720" w:right="0"/>
      </w:pPr>
      <w:r>
        <w:rPr>
          <w:rStyle w:val="font_h2"/>
        </w:rPr>
        <w:t xml:space="preserve">3.5. Ferrage - Verrouillage</w:t>
      </w:r>
    </w:p>
    <w:p>
      <w:pPr>
        <w:ind w:left="720" w:right="0"/>
      </w:pPr>
      <w:r>
        <w:rPr>
          <w:rStyle w:val="font_h2"/>
        </w:rPr>
        <w:t xml:space="preserve">3.6. Vitrage</w:t>
      </w:r>
    </w:p>
    <w:p>
      <w:pPr>
        <w:ind w:left="720" w:right="0"/>
      </w:pPr>
      <w:r>
        <w:rPr>
          <w:rStyle w:val="font_h2"/>
        </w:rPr>
        <w:t xml:space="preserve">3.7. Dimensions maximales</w:t>
      </w:r>
    </w:p>
    <w:p>
      <w:pPr/>
      <w:r>
        <w:rPr/>
        <w:t xml:space="preserve">Validé par le Groupe Spécialisé le 02/01/2018</w:t>
      </w:r>
    </w:p>
    <w:p>
      <w:pPr/>
      <w:r>
        <w:rPr>
          <w:b/>
          <w:bCs/>
        </w:rPr>
        <w:t xml:space="preserve">Description</w:t>
      </w:r>
    </w:p>
    <w:p>
      <w:pPr/>
      <w:r>
        <w:rPr/>
        <w:t xml:space="preserve">Définir les dimensions maxi hors tout et les dimensions correspondantes des baies concernées.</w:t>
      </w:r>
    </w:p>
    <w:p>
      <w:pPr/>
      <w:r>
        <w:rPr>
          <w:b/>
          <w:bCs/>
        </w:rPr>
        <w:t xml:space="preserve">Justification</w:t>
      </w:r>
    </w:p>
    <w:p>
      <w:pPr/>
      <w:r>
        <w:rPr/>
        <w:t xml:space="preserve">Fournir les abaques de dimensionnement et les dimensions maximum prévues dans la demande en fonction des configurations.</w:t>
      </w:r>
    </w:p>
    <w:p>
      <w:pPr/>
      <w:r>
        <w:rPr>
          <w:rStyle w:val="font_h1"/>
        </w:rPr>
        <w:t xml:space="preserve">4. Eléments de coffres de volets roulants</w:t>
      </w:r>
    </w:p>
    <w:p>
      <w:pPr/>
      <w:r>
        <w:rPr/>
        <w:t xml:space="preserve">Validé par le Groupe Spécialisé le 02/01/2018</w:t>
      </w:r>
    </w:p>
    <w:p>
      <w:pPr/>
      <w:r>
        <w:rPr>
          <w:b/>
          <w:bCs/>
        </w:rPr>
        <w:t xml:space="preserve">Description</w:t>
      </w:r>
    </w:p>
    <w:p>
      <w:pPr/>
      <w:r>
        <w:rPr/>
        <w:t xml:space="preserve">Identifier et définir le matériau de tous les constituants des coffres objet de la demande, pour notamment :</w:t>
      </w:r>
    </w:p>
    <w:p>
      <w:pPr>
        <w:pPr/>
        <w:numPr>
          <w:ilvl w:val="0"/>
          <w:numId w:val="14"/>
        </w:numPr>
      </w:pPr>
      <w:r>
        <w:rPr/>
        <w:t xml:space="preserve">Profilés PVC (compositions vinyliques et extrudeurs) ;</w:t>
      </w:r>
    </w:p>
    <w:p>
      <w:pPr>
        <w:pPr/>
        <w:numPr>
          <w:ilvl w:val="0"/>
          <w:numId w:val="14"/>
        </w:numPr>
      </w:pPr>
      <w:r>
        <w:rPr/>
        <w:t xml:space="preserve">Les garnitures d’étanchéité et les accessoires (nature et fabricants) ;</w:t>
      </w:r>
    </w:p>
    <w:p>
      <w:pPr>
        <w:pPr/>
        <w:numPr>
          <w:ilvl w:val="0"/>
          <w:numId w:val="14"/>
        </w:numPr>
      </w:pPr>
      <w:r>
        <w:rPr/>
        <w:t xml:space="preserve">Les renforts (nature et dimensions) ;</w:t>
      </w:r>
    </w:p>
    <w:p>
      <w:pPr>
        <w:pPr/>
        <w:numPr>
          <w:ilvl w:val="0"/>
          <w:numId w:val="14"/>
        </w:numPr>
      </w:pPr>
      <w:r>
        <w:rPr/>
        <w:t xml:space="preserve">Tous les profilés et pièces complémentaires (nature et fabricants).</w:t>
      </w:r>
    </w:p>
    <w:p>
      <w:pPr/>
      <w:r>
        <w:rPr/>
        <w:t xml:space="preserve">Définir la fabrication des coffres, par la description des modalités d’assemblage et d’étanchéité ainsi que les liaisons avec les dormants de fenêtres.</w:t>
      </w:r>
    </w:p>
    <w:p>
      <w:pPr/>
      <w:r>
        <w:rPr>
          <w:b/>
          <w:bCs/>
        </w:rPr>
        <w:t xml:space="preserve">Justification</w:t>
      </w:r>
    </w:p>
    <w:p>
      <w:pPr/>
      <w:r>
        <w:rPr/>
        <w:t xml:space="preserve">Indiquer toutes les références.</w:t>
      </w:r>
    </w:p>
    <w:p>
      <w:pPr/>
      <w:r>
        <w:rPr/>
        <w:t xml:space="preserve">Fournir un dossier de plans illustrant tous les constituants des coffres objet de la demande.</w:t>
      </w:r>
    </w:p>
    <w:p>
      <w:pPr/>
      <w:r>
        <w:rPr>
          <w:rStyle w:val="font_h1"/>
        </w:rPr>
        <w:t xml:space="preserve">5. Fabrication</w:t>
      </w:r>
    </w:p>
    <w:p>
      <w:pPr>
        <w:ind w:left="720" w:right="0"/>
      </w:pPr>
      <w:r>
        <w:rPr>
          <w:rStyle w:val="font_h2"/>
        </w:rPr>
        <w:t xml:space="preserve">5.1. Extrusion des profilés PVC</w:t>
      </w:r>
    </w:p>
    <w:p>
      <w:pPr>
        <w:ind w:left="720" w:right="0"/>
      </w:pPr>
      <w:r>
        <w:rPr>
          <w:rStyle w:val="font_h2"/>
        </w:rPr>
        <w:t xml:space="preserve">5.2. Assemblage des fenêtres</w:t>
      </w:r>
    </w:p>
    <w:p>
      <w:pPr>
        <w:ind w:left="720" w:right="0"/>
      </w:pPr>
      <w:r>
        <w:rPr>
          <w:rStyle w:val="font_h2"/>
        </w:rPr>
        <w:t xml:space="preserve">5.3. Film</w:t>
      </w:r>
    </w:p>
    <w:p>
      <w:pPr>
        <w:ind w:left="720" w:right="0"/>
      </w:pPr>
      <w:r>
        <w:rPr>
          <w:rStyle w:val="font_h2"/>
        </w:rPr>
        <w:t xml:space="preserve">5.4. Plaxage des profilés</w:t>
      </w:r>
    </w:p>
    <w:p>
      <w:pPr/>
      <w:r>
        <w:rPr>
          <w:rStyle w:val="font_h1"/>
        </w:rPr>
        <w:t xml:space="preserve">6. Mise en oeuvre</w:t>
      </w:r>
    </w:p>
    <w:p>
      <w:pPr>
        <w:ind w:left="720" w:right="0"/>
      </w:pPr>
      <w:r>
        <w:rPr>
          <w:rStyle w:val="font_h2"/>
        </w:rPr>
        <w:t xml:space="preserve">6.1. Mise en oeuvre</w:t>
      </w:r>
    </w:p>
    <w:p>
      <w:pPr/>
      <w:r>
        <w:rPr/>
        <w:t xml:space="preserve">Validé par le Groupe Spécialisé le 13/03/2025</w:t>
      </w:r>
    </w:p>
    <w:p>
      <w:pPr/>
      <w:r>
        <w:rPr>
          <w:b/>
          <w:bCs/>
        </w:rPr>
        <w:t xml:space="preserve">Description</w:t>
      </w:r>
    </w:p>
    <w:p>
      <w:pPr/>
      <w:r>
        <w:rPr/>
        <w:t xml:space="preserve">Définir les modalités de la mise en oeuvre (nature et positionnement des fixations avec le gros-oeuvre) en fonction des types de pose envisagés. </w:t>
      </w:r>
    </w:p>
    <w:p>
      <w:pPr/>
      <w:r>
        <w:rPr>
          <w:i/>
          <w:iCs/>
        </w:rPr>
        <w:t xml:space="preserve">NB : Se reporter au NF DTU 36.5, e-cahier CSTB 3521 et 3709_V2.</w:t>
      </w:r>
    </w:p>
    <w:p>
      <w:pPr/>
      <w:r>
        <w:rPr>
          <w:b/>
          <w:bCs/>
        </w:rPr>
        <w:t xml:space="preserve">Justification</w:t>
      </w:r>
    </w:p>
    <w:p>
      <w:pPr/>
      <w:r>
        <w:rPr/>
        <w:t xml:space="preserve">Fournir un dossier de plans illustrant toutes les modalités de mise en oeuvre des fenêtres objet de la demande. </w:t>
      </w:r>
    </w:p>
    <w:p>
      <w:pPr/>
      <w:r>
        <w:rPr>
          <w:i/>
          <w:iCs/>
        </w:rPr>
        <w:t xml:space="preserve">NB : Une définition de la trame de ce Dossier Technique ainsi qu’un fichier informatique de situations de pose sont à disposition sur simple demande.</w:t>
      </w:r>
    </w:p>
    <w:p>
      <w:pPr>
        <w:ind w:left="720" w:right="0"/>
      </w:pPr>
      <w:r>
        <w:rPr>
          <w:rStyle w:val="font_h2"/>
        </w:rPr>
        <w:t xml:space="preserve">6.2. Système d'étanchéité</w:t>
      </w:r>
    </w:p>
    <w:p>
      <w:pPr/>
      <w:r>
        <w:rPr/>
        <w:t xml:space="preserve">Validé par le Groupe Spécialisé le 13/03/2025</w:t>
      </w:r>
    </w:p>
    <w:p>
      <w:pPr/>
      <w:r>
        <w:rPr>
          <w:b/>
          <w:bCs/>
        </w:rPr>
        <w:t xml:space="preserve">Description</w:t>
      </w:r>
    </w:p>
    <w:p>
      <w:pPr/>
      <w:r>
        <w:rPr/>
        <w:t xml:space="preserve">Définir les modalités de la mise en oeuvre (nature et positionnement du calfeutrement avec le gros-oeuvre) en fonction des types de pose envisagés.</w:t>
      </w:r>
    </w:p>
    <w:p>
      <w:pPr/>
      <w:r>
        <w:rPr>
          <w:i/>
          <w:iCs/>
        </w:rPr>
        <w:t xml:space="preserve">NB : Se reporter au NF DTU 36.5, e-cahier CSTB 3521 et 3709_V2.</w:t>
      </w:r>
    </w:p>
    <w:p>
      <w:pPr/>
      <w:r>
        <w:rPr>
          <w:b/>
          <w:bCs/>
        </w:rPr>
        <w:t xml:space="preserve">Justification</w:t>
      </w:r>
    </w:p>
    <w:p>
      <w:pPr/>
      <w:r>
        <w:rPr/>
        <w:t xml:space="preserve">Fournir les justificatifs de compatibilité.</w:t>
      </w:r>
    </w:p>
    <w:p>
      <w:pPr>
        <w:ind w:left="720" w:right="0"/>
      </w:pPr>
      <w:r>
        <w:rPr>
          <w:rStyle w:val="font_h2"/>
        </w:rPr>
        <w:t xml:space="preserve">6.3. Nettoyage</w:t>
      </w:r>
    </w:p>
    <w:p>
      <w:pPr/>
      <w:r>
        <w:rPr/>
        <w:t xml:space="preserve">Validé par le Groupe Spécialisé le 02/01/2018</w:t>
      </w:r>
    </w:p>
    <w:p>
      <w:pPr/>
      <w:r>
        <w:rPr>
          <w:b/>
          <w:bCs/>
        </w:rPr>
        <w:t xml:space="preserve">Description</w:t>
      </w:r>
    </w:p>
    <w:p>
      <w:pPr/>
      <w:r>
        <w:rPr/>
        <w:t xml:space="preserve">Fournir (si concerné) la notice d’entretien ainsi que le contrat de maintenance.</w:t>
      </w:r>
    </w:p>
    <w:p>
      <w:pPr>
        <w:ind w:left="720" w:right="0"/>
      </w:pPr>
      <w:r>
        <w:rPr>
          <w:rStyle w:val="font_h2"/>
        </w:rPr>
        <w:t xml:space="preserve">6.4. Accessibilité</w:t>
      </w:r>
    </w:p>
    <w:p>
      <w:pPr/>
      <w:r>
        <w:rPr/>
        <w:t xml:space="preserve">Validé par le Groupe Spécialisé le 07/03/2019</w:t>
      </w:r>
    </w:p>
    <w:p>
      <w:pPr/>
      <w:r>
        <w:rPr>
          <w:b/>
          <w:bCs/>
        </w:rPr>
        <w:t xml:space="preserve">Description</w:t>
      </w:r>
    </w:p>
    <w:p>
      <w:pPr/>
      <w:r>
        <w:rPr/>
        <w:t xml:space="preserve">Hauteur du seuil PMR avec une lèvre souple</w:t>
      </w:r>
    </w:p>
    <w:p>
      <w:pPr/>
      <w:r>
        <w:rPr/>
        <w:t xml:space="preserve">Le GS considère que la hauteur de 20 mm du seuil de menuiserie prévue dans l’arrêté de novembre 2007, incorpore les éventuelles parties souples présentent sur le profil formant seuil.</w:t>
      </w:r>
    </w:p>
    <w:p>
      <w:pPr/>
      <w:r>
        <w:rPr>
          <w:rStyle w:val="font_h1"/>
        </w:rPr>
        <w:t xml:space="preserve">7. Résultats expérimentaux</w:t>
      </w:r>
    </w:p>
    <w:p>
      <w:pPr/>
      <w:r>
        <w:rPr/>
        <w:t xml:space="preserve">Validé par le Groupe Spécialisé le 10/12/2025</w:t>
      </w:r>
    </w:p>
    <w:p>
      <w:pPr/>
      <w:r>
        <w:rPr>
          <w:b/>
          <w:bCs/>
        </w:rPr>
        <w:t xml:space="preserve">Description</w:t>
      </w:r>
    </w:p>
    <w:p>
      <w:pPr/>
      <w:r>
        <w:rPr/>
        <w:t xml:space="preserve">Fournir copie des rapports d’essais de toute nature, en laboratoire ou in situ, sur les constituants ou sur les coffres pouvant apporter justification de l’aptitude à l’emploi du système évalué.</w:t>
      </w:r>
    </w:p>
    <w:p>
      <w:pPr/>
      <w:r>
        <w:rPr/>
        <w:t xml:space="preserve">Sur les constituants :</w:t>
      </w:r>
    </w:p>
    <w:p>
      <w:pPr>
        <w:pPr/>
        <w:numPr>
          <w:ilvl w:val="0"/>
          <w:numId w:val="15"/>
        </w:numPr>
      </w:pPr>
      <w:r>
        <w:rPr/>
        <w:t xml:space="preserve">profilés PVC (</w:t>
      </w:r>
      <w:r>
        <w:rPr>
          <w:i/>
          <w:iCs/>
        </w:rPr>
        <w:t xml:space="preserve">Cf NF EN 12608+référentiel QB 59</w:t>
      </w:r>
      <w:r>
        <w:rPr/>
        <w:t xml:space="preserve">) ;</w:t>
      </w:r>
    </w:p>
    <w:p>
      <w:pPr>
        <w:pPr/>
        <w:numPr>
          <w:ilvl w:val="0"/>
          <w:numId w:val="15"/>
        </w:numPr>
      </w:pPr>
      <w:r>
        <w:rPr/>
        <w:t xml:space="preserve">garnitures d’étanchéité (Pour la partie active des profilés (hormis ceux en EPDM) qui assurent une fonction d’étanchéité, leur composition matière doit être conforme au référentiel de certification QB 36.) ;</w:t>
      </w:r>
    </w:p>
    <w:p>
      <w:pPr>
        <w:pPr/>
        <w:numPr>
          <w:ilvl w:val="0"/>
          <w:numId w:val="15"/>
        </w:numPr>
      </w:pPr>
      <w:r>
        <w:rPr/>
        <w:t xml:space="preserve">profilés métalliques (Les profilés en acier doivent avoir un indice de protection contre la corrosion de Z275).</w:t>
      </w:r>
    </w:p>
    <w:p>
      <w:pPr/>
      <w:r>
        <w:rPr/>
        <w:t xml:space="preserve">Sur les coffres :</w:t>
      </w:r>
    </w:p>
    <w:p>
      <w:pPr>
        <w:pPr/>
        <w:numPr>
          <w:ilvl w:val="0"/>
          <w:numId w:val="16"/>
        </w:numPr>
      </w:pPr>
      <w:r>
        <w:rPr/>
        <w:t xml:space="preserve">fournir copie des essais de perméabilité à l’air réalisés (</w:t>
      </w:r>
      <w:r>
        <w:rPr>
          <w:i/>
          <w:iCs/>
        </w:rPr>
        <w:t xml:space="preserve">selon NF P 20-501 §6 : performance exigée : C3 selon NF P20-302</w:t>
      </w:r>
      <w:r>
        <w:rPr/>
        <w:t xml:space="preserve">) ;</w:t>
      </w:r>
    </w:p>
    <w:p>
      <w:pPr>
        <w:pPr/>
        <w:numPr>
          <w:ilvl w:val="0"/>
          <w:numId w:val="16"/>
        </w:numPr>
      </w:pPr>
      <w:r>
        <w:rPr/>
        <w:t xml:space="preserve">fournir copie des essais de résistance au vent (</w:t>
      </w:r>
      <w:r>
        <w:rPr>
          <w:i/>
          <w:iCs/>
        </w:rPr>
        <w:t xml:space="preserve">performance minimale exigé : NF DTU36.5 P3 §7.1.2.</w:t>
      </w:r>
      <w:r>
        <w:rPr/>
        <w:t xml:space="preserve">) ;</w:t>
      </w:r>
    </w:p>
    <w:p>
      <w:pPr>
        <w:pPr/>
        <w:numPr>
          <w:ilvl w:val="0"/>
          <w:numId w:val="16"/>
        </w:numPr>
      </w:pPr>
      <w:r>
        <w:rPr/>
        <w:t xml:space="preserve">fournir justifications sur la flèche verticale de l’ensemble coffre+traverse haute de menuiserie (</w:t>
      </w:r>
      <w:r>
        <w:rPr>
          <w:i/>
          <w:iCs/>
        </w:rPr>
        <w:t xml:space="preserve">exigence : 2 mm maximum</w:t>
      </w:r>
      <w:r>
        <w:rPr/>
        <w:t xml:space="preserve">) ;</w:t>
      </w:r>
    </w:p>
    <w:p>
      <w:pPr>
        <w:pPr/>
        <w:numPr>
          <w:ilvl w:val="0"/>
          <w:numId w:val="16"/>
        </w:numPr>
      </w:pPr>
      <w:r>
        <w:rPr/>
        <w:t xml:space="preserve">fournir les calculs thermiques des différentes combinaisons (</w:t>
      </w:r>
      <w:r>
        <w:rPr>
          <w:i/>
          <w:iCs/>
        </w:rPr>
        <w:t xml:space="preserve">En cas de mise en oeuvre dans les bâtiments relevant de la RT existant globale, le coefficient de transmission thermique des coffres Uc devra être inférieur ou égal à 3W/m².K. En cas de mise en oeuvre dans les bâtiments existants relevant de la RT élément par élément, le coefficient de transmission thermique des coffres Uc devra être inférieur ou égal à 2,5 W/(m².K)</w:t>
      </w:r>
      <w:r>
        <w:rPr/>
        <w:t xml:space="preserve">).</w:t>
      </w:r>
    </w:p>
    <w:p>
      <w:pPr/>
      <w:r>
        <w:rPr/>
        <w:t xml:space="preserve">Fournir copie de rapport d’essais sur produit de calfeutrement ayant fait l’objet d’essais satisfaisants de compatibilité – cohésion/adhésion sur les profilés et accessoires en contact (</w:t>
      </w:r>
      <w:r>
        <w:rPr>
          <w:i/>
          <w:iCs/>
        </w:rPr>
        <w:t xml:space="preserve">NF EN ISO 8339</w:t>
      </w:r>
      <w:r>
        <w:rPr/>
        <w:t xml:space="preserve">).</w:t>
      </w:r>
    </w:p>
    <w:p>
      <w:pPr/>
      <w:r>
        <w:rPr/>
        <w:t xml:space="preserve">Etablir le lien avec le ou les ATEcs déjà délivrés au bénéfice du demandeur.</w:t>
      </w:r>
    </w:p>
    <w:p>
      <w:pPr/>
      <w:r>
        <w:rPr/>
        <w:t xml:space="preserve">Présenter les évolutions du système depuis sa création.</w:t>
      </w:r>
    </w:p>
    <w:p>
      <w:pPr/>
      <w:r>
        <w:rPr/>
        <w:t xml:space="preserve">Fréquences minimales de contrôles sur les profilés PVC (</w:t>
      </w:r>
      <w:r>
        <w:rPr>
          <w:i/>
          <w:iCs/>
        </w:rPr>
        <w:t xml:space="preserve">Cf QB 59</w:t>
      </w:r>
      <w:r>
        <w:rPr/>
        <w:t xml:space="preserve">).</w:t>
      </w:r>
    </w:p>
    <w:p>
      <w:pPr/>
      <w:r>
        <w:rPr>
          <w:rStyle w:val="font_h1"/>
        </w:rPr>
        <w:t xml:space="preserve">8. Références de chantier</w:t>
      </w:r>
    </w:p>
    <w:p>
      <w:pPr/>
      <w:r>
        <w:rPr/>
        <w:t xml:space="preserve">Validé par le Groupe Spécialisé le 02/01/2018</w:t>
      </w:r>
    </w:p>
    <w:p>
      <w:pPr/>
      <w:r>
        <w:rPr>
          <w:b/>
          <w:bCs/>
        </w:rPr>
        <w:t xml:space="preserve">Description</w:t>
      </w:r>
    </w:p>
    <w:p>
      <w:pPr/>
      <w:r>
        <w:rPr/>
        <w:t xml:space="preserve">Lister les chantiers de références avec date de fabrication :</w:t>
      </w:r>
    </w:p>
    <w:p>
      <w:pPr>
        <w:pPr/>
        <w:numPr>
          <w:ilvl w:val="0"/>
          <w:numId w:val="17"/>
        </w:numPr>
      </w:pPr>
      <w:r>
        <w:rPr/>
        <w:t xml:space="preserve">localiser et préciser les situations de pose ;</w:t>
      </w:r>
    </w:p>
    <w:p>
      <w:pPr>
        <w:pPr/>
        <w:numPr>
          <w:ilvl w:val="0"/>
          <w:numId w:val="17"/>
        </w:numPr>
      </w:pPr>
      <w:r>
        <w:rPr/>
        <w:t xml:space="preserve">identifier les types de coffres ;</w:t>
      </w:r>
    </w:p>
    <w:p>
      <w:pPr>
        <w:pPr/>
        <w:numPr>
          <w:ilvl w:val="0"/>
          <w:numId w:val="17"/>
        </w:numPr>
      </w:pPr>
      <w:r>
        <w:rPr/>
        <w:t xml:space="preserve">préciser les contacts susceptibles d’assister une visite chantier.</w:t>
      </w:r>
    </w:p>
    <w:p>
      <w:pPr/>
      <w:r>
        <w:rPr>
          <w:rStyle w:val="font_h1"/>
        </w:rPr>
        <w:t xml:space="preserve">9. Jurisprudences</w:t>
      </w:r>
    </w:p>
    <w:p>
      <w:pPr>
        <w:ind w:left="720" w:right="0"/>
      </w:pPr>
      <w:r>
        <w:rPr>
          <w:rStyle w:val="font_h2"/>
        </w:rPr>
        <w:t xml:space="preserve">9.1. 2017 (02) Position du GS sur les dossiers de suivi des fenêtres respirantes</w:t>
      </w:r>
    </w:p>
    <w:p>
      <w:pPr/>
      <w:r>
        <w:rPr/>
        <w:t xml:space="preserve">Validé par le Groupe Spécialisé le 02/01/2018</w:t>
      </w:r>
    </w:p>
    <w:p>
      <w:pPr/>
      <w:r>
        <w:rPr>
          <w:b/>
          <w:bCs/>
        </w:rPr>
        <w:t xml:space="preserve">Description</w:t>
      </w:r>
    </w:p>
    <w:p>
      <w:pPr/>
      <w:r>
        <w:rPr/>
        <w:t xml:space="preserve">Il sera précisé sur la première page des DTA, par un encart, ainsi que dans les remarques complémentaires du Groupe Spécialisé, que seules les unités de fabrication bénéficiant d’un suivi « pass respirant » pourront se prévaloir du DTA.De plus, en l’absence de mesure de la perméabilité à l’air de la paroi intérieure, la valeur par défaut de débit de 0,5 m3/ (h.m2) sous 150 Pa sera considérée comme l’exigence maximale de débit de fuite à l’air dans le cadre des essais de contrôle à réaliser en usine.</w:t>
      </w:r>
    </w:p>
    <w:p>
      <w:pPr>
        <w:ind w:left="720" w:right="0"/>
      </w:pPr>
      <w:r>
        <w:rPr>
          <w:rStyle w:val="font_h2"/>
        </w:rPr>
        <w:t xml:space="preserve">9.2. 2017 (03) Position du GS pour les systèmes de « panneaux de remplissage »</w:t>
      </w:r>
    </w:p>
    <w:p>
      <w:pPr/>
      <w:r>
        <w:rPr/>
        <w:t xml:space="preserve">Validé par le Groupe Spécialisé le 02/01/2018</w:t>
      </w:r>
    </w:p>
    <w:p>
      <w:pPr/>
      <w:r>
        <w:rPr>
          <w:b/>
          <w:bCs/>
        </w:rPr>
        <w:t xml:space="preserve">Description</w:t>
      </w:r>
    </w:p>
    <w:p>
      <w:pPr/>
      <w:r>
        <w:rPr/>
        <w:t xml:space="preserve">Le Groupe Spécialisé n°6 confirme la nécessité d’une identification visuelle pour chaque panneau conforme à l’Avis technique.Cette identification doit inclure la référence à l’Avis technique (via le logo de la CCFAT).</w:t>
      </w:r>
    </w:p>
    <w:p>
      <w:pPr>
        <w:ind w:left="720" w:right="0"/>
      </w:pPr>
      <w:r>
        <w:rPr>
          <w:rStyle w:val="font_h2"/>
        </w:rPr>
        <w:t xml:space="preserve">9.3. 2017 (03) Position du GS sur les dossiers de suivi des fenêtres respirantes</w:t>
      </w:r>
    </w:p>
    <w:p>
      <w:pPr/>
      <w:r>
        <w:rPr/>
        <w:t xml:space="preserve">Validé par le Groupe Spécialisé le 02/01/2018</w:t>
      </w:r>
    </w:p>
    <w:p>
      <w:pPr/>
      <w:r>
        <w:rPr>
          <w:b/>
          <w:bCs/>
        </w:rPr>
        <w:t xml:space="preserve">Description</w:t>
      </w:r>
    </w:p>
    <w:p>
      <w:pPr/>
      <w:r>
        <w:rPr/>
        <w:t xml:space="preserve">La mise en application des dispositions de contrôles en production et de suivi des unités de fabrication des fenêtres respirantes sous DTA, selon les critères définis dans le cahier CSTB 3759, a été acté, elle est d’application effective depuis le 1er mars 2017.</w:t>
      </w:r>
    </w:p>
    <w:p>
      <w:pPr>
        <w:ind w:left="720" w:right="0"/>
      </w:pPr>
      <w:r>
        <w:rPr>
          <w:rStyle w:val="font_h2"/>
        </w:rPr>
        <w:t xml:space="preserve">9.4. 2017 (06) Position du GS pour les travaux de rénovations sur dormants existants</w:t>
      </w:r>
    </w:p>
    <w:p>
      <w:pPr/>
      <w:r>
        <w:rPr/>
        <w:t xml:space="preserve">Validé par le Groupe Spécialisé le 28/09/2017</w:t>
      </w:r>
    </w:p>
    <w:p>
      <w:pPr/>
      <w:r>
        <w:rPr>
          <w:b/>
          <w:bCs/>
        </w:rPr>
        <w:t xml:space="preserve">Description</w:t>
      </w:r>
    </w:p>
    <w:p>
      <w:pPr/>
      <w:r>
        <w:rPr/>
        <w:t xml:space="preserve">Le GS est très réservé sur les possibilités de rénovation avec conservation d’anciens dormants PVC ou aluminium, pour les raisons suivantes :</w:t>
      </w:r>
    </w:p>
    <w:p>
      <w:pPr>
        <w:pPr/>
        <w:numPr>
          <w:ilvl w:val="0"/>
          <w:numId w:val="18"/>
        </w:numPr>
      </w:pPr>
      <w:r>
        <w:rPr/>
        <w:t xml:space="preserve">difficulté de connaitre vraiment l’état des pattes de fixation,</w:t>
      </w:r>
    </w:p>
    <w:p>
      <w:pPr>
        <w:pPr/>
        <w:numPr>
          <w:ilvl w:val="0"/>
          <w:numId w:val="18"/>
        </w:numPr>
      </w:pPr>
      <w:r>
        <w:rPr/>
        <w:t xml:space="preserve">solution thermiquement très difficile à réaliser correctement vis-à-vis de la liaison entre le nouveau et l’ancien dormant,</w:t>
      </w:r>
    </w:p>
    <w:p>
      <w:pPr>
        <w:pPr/>
        <w:numPr>
          <w:ilvl w:val="0"/>
          <w:numId w:val="18"/>
        </w:numPr>
      </w:pPr>
      <w:r>
        <w:rPr/>
        <w:t xml:space="preserve">connaissance très difficile des matières PVC des anciens dormants et de leur état de conservation,</w:t>
      </w:r>
    </w:p>
    <w:p>
      <w:pPr>
        <w:pPr/>
        <w:numPr>
          <w:ilvl w:val="0"/>
          <w:numId w:val="18"/>
        </w:numPr>
      </w:pPr>
      <w:r>
        <w:rPr/>
        <w:t xml:space="preserve">compatibilité de ces matières avec les mastics de calfeutrement à utiliser,</w:t>
      </w:r>
    </w:p>
    <w:p>
      <w:pPr>
        <w:pPr/>
        <w:numPr>
          <w:ilvl w:val="0"/>
          <w:numId w:val="18"/>
        </w:numPr>
      </w:pPr>
      <w:r>
        <w:rPr/>
        <w:t xml:space="preserve">difficulté pour conserver le clair de vitrage.</w:t>
      </w:r>
    </w:p>
    <w:p>
      <w:pPr>
        <w:ind w:left="720" w:right="0"/>
      </w:pPr>
      <w:r>
        <w:rPr>
          <w:rStyle w:val="font_h2"/>
        </w:rPr>
        <w:t xml:space="preserve">9.5. 2017 (10) Recouvrement minimum en cas de pose ITE</w:t>
      </w:r>
    </w:p>
    <w:p>
      <w:pPr/>
      <w:r>
        <w:rPr/>
        <w:t xml:space="preserve">Validé par le Groupe Spécialisé le 02/01/2018</w:t>
      </w:r>
    </w:p>
    <w:p>
      <w:pPr/>
      <w:r>
        <w:rPr>
          <w:b/>
          <w:bCs/>
        </w:rPr>
        <w:t xml:space="preserve">Description</w:t>
      </w:r>
    </w:p>
    <w:p>
      <w:pPr/>
      <w:r>
        <w:rPr/>
        <w:t xml:space="preserve">Dans le cas d'une pose de fenêtres en applique extérieure avec une ITE, la largeur disponible sur le dormant en vis-à-vis du gros œuvre doit être au minimum de 28 mm. Il conviendra de vérifier que les dormants et autres fourrures d’épaisseurs permettent de satisfaire cette exigence.</w:t>
      </w:r>
    </w:p>
    <w:p>
      <w:pPr>
        <w:ind w:left="720" w:right="0"/>
      </w:pPr>
      <w:r>
        <w:rPr>
          <w:rStyle w:val="font_h2"/>
        </w:rPr>
        <w:t xml:space="preserve">9.6. 2017 (12) Opportunité de suivi de la qualité en usine des seuils PMR</w:t>
      </w:r>
    </w:p>
    <w:p>
      <w:pPr/>
      <w:r>
        <w:rPr/>
        <w:t xml:space="preserve">Validé par le Groupe Spécialisé le 02/01/2018</w:t>
      </w:r>
    </w:p>
    <w:p>
      <w:pPr/>
      <w:r>
        <w:rPr>
          <w:b/>
          <w:bCs/>
        </w:rPr>
        <w:t xml:space="preserve">Description</w:t>
      </w:r>
    </w:p>
    <w:p>
      <w:pPr/>
      <w:r>
        <w:rPr/>
        <w:t xml:space="preserve">Le GS6 se prononce favorablement quant à un suivi de la qualité en usine des seuils PMR mixtes (hors seuil aluminium RPT, qui font déjà l'objet d'un suivi dans le cadre de la marque NF 252).Le CSTB proposera des modalités de suivi et les critères d'acceptation des caractéristiques suivies devront être débattus en GS6.</w:t>
      </w:r>
    </w:p>
    <w:p>
      <w:pPr>
        <w:ind w:left="720" w:right="0"/>
      </w:pPr>
      <w:r>
        <w:rPr>
          <w:rStyle w:val="font_h2"/>
        </w:rPr>
        <w:t xml:space="preserve">9.7. 2017 (12) Risques sismiques</w:t>
      </w:r>
    </w:p>
    <w:p>
      <w:pPr/>
      <w:r>
        <w:rPr/>
        <w:t xml:space="preserve">Validé par le Groupe Spécialisé le 02/01/2018</w:t>
      </w:r>
    </w:p>
    <w:p>
      <w:pPr/>
      <w:r>
        <w:rPr>
          <w:b/>
          <w:bCs/>
        </w:rPr>
        <w:t xml:space="preserve">Description</w:t>
      </w:r>
    </w:p>
    <w:p>
      <w:pPr/>
      <w:r>
        <w:rPr/>
        <w:t xml:space="preserve">La phrase suivante sera ajoutée aux DTA :"Le présent système ne présentant pas d'éléments de remplissage supérieurs à 4 m², il n'y a pas lieu d'apporter de justifications particulières (conformément au "Guide de dimensionnement parasismique des élément non structuraux du cadre bâti" de septembre 2014).".Dans les cas où le système présenterait des remplissages de dimensions supérieures, le paragraphe sera adapté.</w:t>
      </w:r>
    </w:p>
    <w:p>
      <w:pPr>
        <w:ind w:left="720" w:right="0"/>
      </w:pPr>
      <w:r>
        <w:rPr>
          <w:rStyle w:val="font_h2"/>
        </w:rPr>
        <w:t xml:space="preserve">9.8. 2017 (12) Mise en œuvre ITE</w:t>
      </w:r>
    </w:p>
    <w:p>
      <w:pPr/>
      <w:r>
        <w:rPr/>
        <w:t xml:space="preserve">Validé par le Groupe Spécialisé le 02/01/2018</w:t>
      </w:r>
    </w:p>
    <w:p>
      <w:pPr/>
      <w:r>
        <w:rPr>
          <w:b/>
          <w:bCs/>
        </w:rPr>
        <w:t xml:space="preserve">Description</w:t>
      </w:r>
    </w:p>
    <w:p>
      <w:pPr/>
      <w:r>
        <w:rPr/>
        <w:t xml:space="preserve">Il sera précisé sur les schémas de mise en œuvre ITE que l'ETICS devra être conforme au guide de préconisation "Protection contre l’incendie des façades béton ou maçonnerie revêtues de systèmes d’isolation thermique extérieure par enduit sur polystyrène expansé (ETICS-PSE)" d'avril 2016.</w:t>
      </w:r>
    </w:p>
    <w:p>
      <w:pPr>
        <w:ind w:left="720" w:right="0"/>
      </w:pPr>
      <w:r>
        <w:rPr>
          <w:rStyle w:val="font_h2"/>
        </w:rPr>
        <w:t xml:space="preserve">9.9. 2018 (03) RUP et TOM</w:t>
      </w:r>
    </w:p>
    <w:p>
      <w:pPr/>
      <w:r>
        <w:rPr/>
        <w:t xml:space="preserve">Validé par le Groupe Spécialisé le 15/03/2018</w:t>
      </w:r>
    </w:p>
    <w:p>
      <w:pPr/>
      <w:r>
        <w:rPr>
          <w:b/>
          <w:bCs/>
        </w:rPr>
        <w:t xml:space="preserve">Description</w:t>
      </w:r>
    </w:p>
    <w:p>
      <w:pPr/>
      <w:r>
        <w:rPr/>
        <w:t xml:space="preserve">Le GS rappelle que pour se prévaloir du domaine d’emploi dans les RUP et PTOM, il faut que la durabilité de la matière PVC ou de son revêtement (cas du plaxage ou de la laque) soit justifiée par des résultats d’essais satisfaisants en vieillissement artificiel après 6000H au WOM climat M méthode A cycle 1 de la NF EN 4892.</w:t>
      </w:r>
    </w:p>
    <w:p>
      <w:pPr>
        <w:ind w:left="720" w:right="0"/>
      </w:pPr>
      <w:r>
        <w:rPr>
          <w:rStyle w:val="font_h2"/>
        </w:rPr>
        <w:t xml:space="preserve">9.10. 2018 (03) Risques de propagation du feu par la façade dans le cas des fenêtres  mise en œuvre en applique extérieure</w:t>
      </w:r>
    </w:p>
    <w:p>
      <w:pPr/>
      <w:r>
        <w:rPr/>
        <w:t xml:space="preserve">Validé par le Groupe Spécialisé le 15/03/2018</w:t>
      </w:r>
    </w:p>
    <w:p>
      <w:pPr/>
      <w:r>
        <w:rPr>
          <w:b/>
          <w:bCs/>
        </w:rPr>
        <w:t xml:space="preserve">Description</w:t>
      </w:r>
    </w:p>
    <w:p>
      <w:pPr/>
      <w:r>
        <w:rPr/>
        <w:t xml:space="preserve">Dans le cas de mise en œuvre en applique extérieure, le domaine d’emploi exclura les ouvrages prévus dans les préconisations des guides « Protection contre l’incendie des façades béton ou maçonnerie revêtues de systèmes d’isolation thermique extérieure par enduit sur polystyrène expansé (ETICS-PSE) – avril 2016 » et « Protection contre l’incendie des façades béton ou maçonnerie revêtues de systèmes d’isolation thermique extérieure par bardage rapporté ventilé – Septembre 2017». Cette limitation du domaine d’emploi pourra être levée si le système de fenêtre bénéficie d’un Avis de Laboratoire explicitant clairement les conditions d’emploi ou si les préconisations des guides évoluent afin de prendre en compte la mise en œuvre en applique extérieure des fenêtres.</w:t>
      </w:r>
    </w:p>
    <w:p>
      <w:pPr>
        <w:ind w:left="720" w:right="0"/>
      </w:pPr>
      <w:r>
        <w:rPr>
          <w:rStyle w:val="font_h2"/>
        </w:rPr>
        <w:t xml:space="preserve">9.11. 2018 (04) Dimensions des calfeutrements</w:t>
      </w:r>
    </w:p>
    <w:p>
      <w:pPr/>
      <w:r>
        <w:rPr/>
        <w:t xml:space="preserve">Validé par le Groupe Spécialisé le 25/04/2018</w:t>
      </w:r>
    </w:p>
    <w:p>
      <w:pPr/>
      <w:r>
        <w:rPr>
          <w:b/>
          <w:bCs/>
        </w:rPr>
        <w:t xml:space="preserve">Description</w:t>
      </w:r>
    </w:p>
    <w:p>
      <w:pPr/>
      <w:r>
        <w:rPr/>
        <w:t xml:space="preserve">Modification de la jurisprudence de 2013 (06).En cas de pose en tunnel ou en rénovation avec conservation des dormants, les dormants de la nouvelle fenêtre doivent présenter une surface plane parallèle au gros œuvre ou à l’ancien dormant permettant la mise en place du calfeutrement. La dimension de cette zone de calfeutrement doit être supérieure ou égale à 10 mm. Une dimension inférieure, même avec limitation du domaine d’emploi n’est pas acceptable, car peu réaliste vis-à-vis des conditions de chantier. Cette jurisprudence s’appliquera pour les nouveaux DTA.Il conviendra de publier les plans de mise en œuvre dans le cas suivant :</w:t>
      </w:r>
    </w:p>
    <w:p>
      <w:pPr>
        <w:pPr/>
        <w:numPr>
          <w:ilvl w:val="0"/>
          <w:numId w:val="19"/>
        </w:numPr>
      </w:pPr>
      <w:r>
        <w:rPr/>
        <w:t xml:space="preserve">Un profilé complémentaire est nécessaire afin de réaliser une zone de calfeutrement d'au moins 10 mm</w:t>
      </w:r>
    </w:p>
    <w:p>
      <w:pPr>
        <w:ind w:left="720" w:right="0"/>
      </w:pPr>
      <w:r>
        <w:rPr>
          <w:rStyle w:val="font_h2"/>
        </w:rPr>
        <w:t xml:space="preserve">9.12. 2018 (04) Systèmes de fenêtre comportant des éléments de menuiserie sans rupture thermique et/ou avec risque de condensation.</w:t>
      </w:r>
    </w:p>
    <w:p>
      <w:pPr/>
      <w:r>
        <w:rPr/>
        <w:t xml:space="preserve">Validé par le Groupe Spécialisé le 25/04/2018</w:t>
      </w:r>
    </w:p>
    <w:p>
      <w:pPr/>
      <w:r>
        <w:rPr>
          <w:b/>
          <w:bCs/>
        </w:rPr>
        <w:t xml:space="preserve">Description</w:t>
      </w:r>
    </w:p>
    <w:p>
      <w:pPr/>
      <w:r>
        <w:rPr/>
        <w:t xml:space="preserve">Le GS6 a analysé différents cas et conclue que les dispositions suivantes ne seront plus acceptées sans des justifications hygro-thermiques spécifiques :</w:t>
      </w:r>
    </w:p>
    <w:p>
      <w:pPr>
        <w:pPr/>
        <w:numPr>
          <w:ilvl w:val="0"/>
          <w:numId w:val="20"/>
        </w:numPr>
      </w:pPr>
      <w:r>
        <w:rPr/>
        <w:t xml:space="preserve">Seuils aluminium sans rupteur thermique</w:t>
      </w:r>
    </w:p>
    <w:p>
      <w:pPr>
        <w:pPr/>
        <w:numPr>
          <w:ilvl w:val="0"/>
          <w:numId w:val="20"/>
        </w:numPr>
      </w:pPr>
      <w:r>
        <w:rPr/>
        <w:t xml:space="preserve">Chicanes de coulissant sans rupteur thermique</w:t>
      </w:r>
    </w:p>
    <w:p>
      <w:pPr>
        <w:pPr/>
        <w:numPr>
          <w:ilvl w:val="0"/>
          <w:numId w:val="20"/>
        </w:numPr>
      </w:pPr>
      <w:r>
        <w:rPr/>
        <w:t xml:space="preserve">Poignée de manœuvre traversante sans rupteur thermique</w:t>
      </w:r>
    </w:p>
    <w:p>
      <w:pPr>
        <w:pPr/>
        <w:numPr>
          <w:ilvl w:val="0"/>
          <w:numId w:val="20"/>
        </w:numPr>
      </w:pPr>
      <w:r>
        <w:rPr/>
        <w:t xml:space="preserve">Profilé d'ouvrant sans rupteur thermique en contact directe avec le battement extérieur métallique</w:t>
      </w:r>
    </w:p>
    <w:p>
      <w:pPr>
        <w:pPr/>
        <w:numPr>
          <w:ilvl w:val="0"/>
          <w:numId w:val="20"/>
        </w:numPr>
      </w:pPr>
      <w:r>
        <w:rPr/>
        <w:t xml:space="preserve">Profilé de coffre traversant sans rupteur thermique</w:t>
      </w:r>
    </w:p>
    <w:p>
      <w:pPr>
        <w:ind w:left="720" w:right="0"/>
      </w:pPr>
      <w:r>
        <w:rPr>
          <w:rStyle w:val="font_h2"/>
        </w:rPr>
        <w:t xml:space="preserve">9.13. 2018 (10) Garnitures d’étanchéité</w:t>
      </w:r>
    </w:p>
    <w:p>
      <w:pPr/>
      <w:r>
        <w:rPr/>
        <w:t xml:space="preserve">Validé par le Groupe Spécialisé le 13/12/2018</w:t>
      </w:r>
    </w:p>
    <w:p>
      <w:pPr/>
      <w:r>
        <w:rPr>
          <w:b/>
          <w:bCs/>
        </w:rPr>
        <w:t xml:space="preserve">Description</w:t>
      </w:r>
    </w:p>
    <w:p>
      <w:pPr/>
      <w:r>
        <w:rPr/>
        <w:t xml:space="preserve">Pour toutes les gammes, existantes ou nouvelles, les tolérances n’apparaîtront pas dans le DTA publié. Dans le cas où le recouvrement de l’ouvrant ou du dormant par la garniture du plan d'étanchéité principal est inférieur à 5 mm, il conviendra de fournir des justifications complémentaires (ex. : essai d’étanchéité à l’eau sans tout ou partie de la garniture du plan principal d’étanchéité).</w:t>
      </w:r>
    </w:p>
    <w:p>
      <w:pPr>
        <w:ind w:left="720" w:right="0"/>
      </w:pPr>
      <w:r>
        <w:rPr>
          <w:rStyle w:val="font_h2"/>
        </w:rPr>
        <w:t xml:space="preserve">9.14. 2018 (10) Système respirant</w:t>
      </w:r>
    </w:p>
    <w:p>
      <w:pPr/>
      <w:r>
        <w:rPr/>
        <w:t xml:space="preserve">Validé par le Groupe Spécialisé le 13/12/2018</w:t>
      </w:r>
    </w:p>
    <w:p>
      <w:pPr/>
      <w:r>
        <w:rPr>
          <w:b/>
          <w:bCs/>
        </w:rPr>
        <w:t xml:space="preserve">Description</w:t>
      </w:r>
    </w:p>
    <w:p>
      <w:pPr/>
      <w:r>
        <w:rPr/>
        <w:t xml:space="preserve">Dans le cas des systèmes respirants, les prescriptions techniques devront présenter un paragraphe limitant l’utilisation du système à une masse de vantail maximum.</w:t>
      </w:r>
    </w:p>
    <w:p>
      <w:pPr>
        <w:ind w:left="720" w:right="0"/>
      </w:pPr>
      <w:r>
        <w:rPr>
          <w:rStyle w:val="font_h2"/>
        </w:rPr>
        <w:t xml:space="preserve">9.15. 2018 (10) Conditions de mise en œuvre</w:t>
      </w:r>
    </w:p>
    <w:p>
      <w:pPr/>
      <w:r>
        <w:rPr/>
        <w:t xml:space="preserve">Validé par le Groupe Spécialisé le 13/12/2018</w:t>
      </w:r>
    </w:p>
    <w:p>
      <w:pPr/>
      <w:r>
        <w:rPr>
          <w:b/>
          <w:bCs/>
        </w:rPr>
        <w:t xml:space="preserve">Description</w:t>
      </w:r>
    </w:p>
    <w:p>
      <w:pPr/>
      <w:r>
        <w:rPr/>
        <w:t xml:space="preserve">Dans le paragraphe « conditions de mise en œuvre », le nouveau texte type devient :« Certaines configurations de fenêtres oscillo-battantes ou à soufflet (dimensions, poids de vitrages, positionnement poignée, …) peuvent conduire à un effort d’amorçage de fermeture de la position soufflet du vantail supérieure à 100N. » (Suppression de « sauf dispositions particulières »).</w:t>
      </w:r>
    </w:p>
    <w:p>
      <w:pPr>
        <w:ind w:left="720" w:right="0"/>
      </w:pPr>
      <w:r>
        <w:rPr>
          <w:rStyle w:val="font_h2"/>
        </w:rPr>
        <w:t xml:space="preserve">9.16. 2018 (12) Pièces en impression 3D</w:t>
      </w:r>
    </w:p>
    <w:p>
      <w:pPr/>
      <w:r>
        <w:rPr/>
        <w:t xml:space="preserve">Validé par le Groupe Spécialisé le 07/03/2019</w:t>
      </w:r>
    </w:p>
    <w:p>
      <w:pPr/>
      <w:r>
        <w:rPr>
          <w:b/>
          <w:bCs/>
        </w:rPr>
        <w:t xml:space="preserve">Description</w:t>
      </w:r>
    </w:p>
    <w:p>
      <w:pPr/>
      <w:r>
        <w:rPr/>
        <w:t xml:space="preserve">Concernant les pièces réalisées en impression 3D, il sera systématiquement demandé une identification du couple matière/machine d’impression pour chaque pièce. Ces informations ne seront pas publiées dans le DTA mais archivées dans le dossier d’instruction.</w:t>
      </w:r>
    </w:p>
    <w:p>
      <w:pPr>
        <w:ind w:left="720" w:right="0"/>
      </w:pPr>
      <w:r>
        <w:rPr>
          <w:rStyle w:val="font_h2"/>
        </w:rPr>
        <w:t xml:space="preserve">9.17. 2019 (03) Domaine d'emploi et dimensions du système</w:t>
      </w:r>
    </w:p>
    <w:p>
      <w:pPr/>
      <w:r>
        <w:rPr/>
        <w:t xml:space="preserve">Validé par le Groupe Spécialisé le 07/03/2019</w:t>
      </w:r>
    </w:p>
    <w:p>
      <w:pPr/>
      <w:r>
        <w:rPr>
          <w:b/>
          <w:bCs/>
        </w:rPr>
        <w:t xml:space="preserve">Description</w:t>
      </w:r>
    </w:p>
    <w:p>
      <w:pPr/>
      <w:r>
        <w:rPr/>
        <w:t xml:space="preserve">Il sera désormais indiqué dans le paragraphe 2.1 Domaine d’emploi accepté des DTA, que « Le domaine d’emploi est prévu pour les dimensions indiquées dans le § Dimensions maximales du dossier technique établi par le demandeur. ».</w:t>
      </w:r>
    </w:p>
    <w:p>
      <w:pPr/>
      <w:r>
        <w:rPr/>
        <w:t xml:space="preserve">Pour les systèmes le permettant, il sera ajouté la mention « Pour les fabrications certifiées, des dimensions supérieures peuvent être envisagées. Elles sont alors précisées dans le Certificat de Qualification attribué au menuisier. ».</w:t>
      </w:r>
    </w:p>
    <w:p>
      <w:pPr>
        <w:ind w:left="720" w:right="0"/>
      </w:pPr>
      <w:r>
        <w:rPr>
          <w:rStyle w:val="font_h2"/>
        </w:rPr>
        <w:t xml:space="preserve">9.18. 2019 (10) Largeur de passage des portes-fenêtres 1 vantail équipées d’un dispositif PMR</w:t>
      </w:r>
    </w:p>
    <w:p>
      <w:pPr/>
      <w:r>
        <w:rPr/>
        <w:t xml:space="preserve">Validé par le Groupe Spécialisé le 17/10/2019</w:t>
      </w:r>
    </w:p>
    <w:p>
      <w:pPr/>
      <w:r>
        <w:rPr>
          <w:b/>
          <w:bCs/>
        </w:rPr>
        <w:t xml:space="preserve">Description</w:t>
      </w:r>
    </w:p>
    <w:p>
      <w:pPr/>
      <w:r>
        <w:rPr/>
        <w:t xml:space="preserve">Afin d’être cohérent avec la réglementation concernant l’accès des handicapés aux balcons, terrasses et loggias, la largeur maximale (tableau) passe de 0,80m à 1,00m pour les systèmes de fenêtres PVC à 1 vantail.</w:t>
      </w:r>
    </w:p>
    <w:p>
      <w:pPr>
        <w:ind w:left="720" w:right="0"/>
      </w:pPr>
      <w:r>
        <w:rPr>
          <w:rStyle w:val="font_h2"/>
        </w:rPr>
        <w:t xml:space="preserve">9.19. 2019 (04) Conditions de dérogations du FD DTU 39 P5</w:t>
      </w:r>
    </w:p>
    <w:p>
      <w:pPr/>
      <w:r>
        <w:rPr/>
        <w:t xml:space="preserve">Validé par le Groupe Spécialisé le 11/04/2019</w:t>
      </w:r>
    </w:p>
    <w:p>
      <w:pPr/>
      <w:r>
        <w:rPr>
          <w:b/>
          <w:bCs/>
        </w:rPr>
        <w:t xml:space="preserve">Description</w:t>
      </w:r>
    </w:p>
    <w:p>
      <w:pPr/>
      <w:r>
        <w:rPr/>
        <w:t xml:space="preserve">Conditions de dérogations possibles au tableau 1 du FD DTU 39 P5 pour la hauteur minimale de prise en feuillure de 15 mm sur seulement 3 côtés.</w:t>
      </w:r>
    </w:p>
    <w:p>
      <w:pPr/>
      <w:r>
        <w:rPr/>
        <w:t xml:space="preserve">Il pourra être utilisé le principe du tableau 1 du FP DTU 39 P5, pour des fenêtres comportant une traverse intermédiaire avec une prise en feuillure inférieure à 15 mm si des essais satisfaisants ont été menés dans le cadre de l’instruction de la demande de DTA du système de fenêtre.</w:t>
      </w:r>
    </w:p>
    <w:p>
      <w:pPr>
        <w:ind w:left="720" w:right="0"/>
      </w:pPr>
      <w:r>
        <w:rPr>
          <w:rStyle w:val="font_h2"/>
        </w:rPr>
        <w:t xml:space="preserve">9.20. 2020 (02) Prise en feuillure du vitrage pour assurer la sécurité aux chutes des personnes</w:t>
      </w:r>
    </w:p>
    <w:p>
      <w:pPr/>
      <w:r>
        <w:rPr/>
        <w:t xml:space="preserve">Validé par le Groupe Spécialisé le 25/06/2020</w:t>
      </w:r>
    </w:p>
    <w:p>
      <w:pPr/>
      <w:r>
        <w:rPr>
          <w:b/>
          <w:bCs/>
        </w:rPr>
        <w:t xml:space="preserve">Description</w:t>
      </w:r>
    </w:p>
    <w:p>
      <w:pPr/>
      <w:r>
        <w:rPr/>
        <w:t xml:space="preserve">Après analyse de l’évolution du DTU 39 P5 en séance, le GS6 conserve la jurisprudence de juin 2015 concernant la sécurité aux chutes des personnes nommée ci-après :« 2015 (06) Prise en feuillure des vitrages intervenant dans la sécurité aux chutes des personnes »Lorsque les feuillures d’ouvrant ou dormant ne répondent pas aux exigences du DTU 39 P5 § 4.2.3 , la remarque suivante, sera ajoutée au § 2.1 Domaine d’emploi accepté de la partie Avis du DTA : « Le système tel que décrit dans le Dossier Technique ne répond pas aux exigences du DTU 39 P5 § 4.2.3, vis-à-vis de la sécurité aux chutes des personnes. ».</w:t>
      </w:r>
    </w:p>
    <w:p>
      <w:pPr>
        <w:ind w:left="720" w:right="0"/>
      </w:pPr>
      <w:r>
        <w:rPr>
          <w:rStyle w:val="font_h2"/>
        </w:rPr>
        <w:t xml:space="preserve">9.21. 2020 (02) Système ne disposant pas de solution d’entrée d’air</w:t>
      </w:r>
    </w:p>
    <w:p>
      <w:pPr/>
      <w:r>
        <w:rPr/>
        <w:t xml:space="preserve">Validé par le Groupe Spécialisé le 25/06/2020</w:t>
      </w:r>
    </w:p>
    <w:p>
      <w:pPr/>
      <w:r>
        <w:rPr>
          <w:b/>
          <w:bCs/>
        </w:rPr>
        <w:t xml:space="preserve">Description</w:t>
      </w:r>
    </w:p>
    <w:p>
      <w:pPr/>
      <w:r>
        <w:rPr/>
        <w:t xml:space="preserve">Lorsque le système ne dispose pas de solution d’entrée d’air, il devra être indiqué dans le paragraphe domaine d’emploi de la partie Avis et dans les remarques complémentaires du GS la phrase suivante : « Les pièces principales d’habitation et d’hébergement doivent être munies d’entrées d’air ou d’un dispositif de ventilation double flux pour que les fenêtres et portes-fenêtres puissent y être installées ».</w:t>
      </w:r>
    </w:p>
    <w:p>
      <w:pPr>
        <w:ind w:left="720" w:right="0"/>
      </w:pPr>
      <w:r>
        <w:rPr>
          <w:rStyle w:val="font_h2"/>
        </w:rPr>
        <w:t xml:space="preserve">9.22. 2020 (02) Présentation des premières conclusions du groupe de travail sur la simplification des DTA</w:t>
      </w:r>
    </w:p>
    <w:p>
      <w:pPr/>
      <w:r>
        <w:rPr/>
        <w:t xml:space="preserve">Validé par le Groupe Spécialisé le 25/06/2020</w:t>
      </w:r>
    </w:p>
    <w:p>
      <w:pPr/>
      <w:r>
        <w:rPr>
          <w:b/>
          <w:bCs/>
        </w:rPr>
        <w:t xml:space="preserve">Description</w:t>
      </w:r>
    </w:p>
    <w:p>
      <w:pPr/>
      <w:r>
        <w:rPr/>
        <w:t xml:space="preserve">Performances thermo-optiques : validé par le GS. </w:t>
      </w:r>
    </w:p>
    <w:p>
      <w:pPr>
        <w:pPr/>
        <w:numPr>
          <w:ilvl w:val="0"/>
          <w:numId w:val="21"/>
        </w:numPr>
      </w:pPr>
      <w:r>
        <w:rPr/>
        <w:t xml:space="preserve">Suppression des paragraphes a) à d2) remplacés par la phrase : « Les performances thermo-optiques du système ont fait l’objet d’une évaluation notament au regard de la RT existante à partir des calculs thermiques cités au paragraphe B Résultats expérimentaux. ».</w:t>
      </w:r>
    </w:p>
    <w:p>
      <w:pPr>
        <w:pPr/>
        <w:numPr>
          <w:ilvl w:val="0"/>
          <w:numId w:val="21"/>
        </w:numPr>
      </w:pPr>
      <w:r>
        <w:rPr/>
        <w:t xml:space="preserve">Suppression des tableaux thermiques renvoyés vers le rapport de calculs thermiques attestés conformes au DTA, cité au paragraphe B Résultats expérimentaux.</w:t>
      </w:r>
    </w:p>
    <w:p>
      <w:pPr>
        <w:pPr/>
        <w:numPr>
          <w:ilvl w:val="0"/>
          <w:numId w:val="21"/>
        </w:numPr>
      </w:pPr>
      <w:r>
        <w:rPr/>
        <w:t xml:space="preserve">Le rapport de calculs thermiques cité au paragraphe B Résultats expérimentaux devra obligatoirement contenir au minimum les mêmes configurations que celles demandées actuellement dans le DTA.</w:t>
      </w:r>
    </w:p>
    <w:p>
      <w:pPr>
        <w:pPr/>
        <w:numPr>
          <w:ilvl w:val="0"/>
          <w:numId w:val="21"/>
        </w:numPr>
      </w:pPr>
      <w:r>
        <w:rPr/>
        <w:t xml:space="preserve">Conformément à la présentation qui en avait été faite en séance, la simplification des performances thermo-optiques ne concerne pas les DTA des fenêtres de toit.</w:t>
      </w:r>
    </w:p>
    <w:p>
      <w:pPr/>
      <w:r>
        <w:rPr/>
        <w:t xml:space="preserve">Mises en œuvre (MEO) : le GS valide le fait de ne publier que les MEO qui sont hors NF DTU 36.5 et hors cahier 3709_V2.</w:t>
      </w:r>
    </w:p>
    <w:p>
      <w:pPr/>
      <w:r>
        <w:rPr/>
        <w:t xml:space="preserve">Simplification des informations des composants : seules les dispositions suivantes ont été validées :</w:t>
      </w:r>
    </w:p>
    <w:p>
      <w:pPr>
        <w:pPr/>
        <w:numPr>
          <w:ilvl w:val="0"/>
          <w:numId w:val="22"/>
        </w:numPr>
      </w:pPr>
      <w:r>
        <w:rPr/>
        <w:t xml:space="preserve">Profilés PVC : suppression du lieu d’extrusion dans le cas des profilés NF126 ;</w:t>
      </w:r>
    </w:p>
    <w:p>
      <w:pPr>
        <w:pPr/>
        <w:numPr>
          <w:ilvl w:val="0"/>
          <w:numId w:val="22"/>
        </w:numPr>
      </w:pPr>
      <w:r>
        <w:rPr/>
        <w:t xml:space="preserve">Profilés aluminium RPT : dans le cas des profilés QB49 suppression du lieu d’extrusion des demi-coquilles, de sertissage et du fournisseur de barrettes.</w:t>
      </w:r>
    </w:p>
    <w:p>
      <w:pPr/>
      <w:r>
        <w:rPr/>
        <w:t xml:space="preserve">Demande de création d’une prestation pour évolutions mineures : validée par le GS, cette prestation concernera uniquement la liste exhaustive des éléments indiqués sur la liste fournie en annexe. Cette nouvelle prestation fera l’objet d’une demande de validation auprès de la CCFAT.</w:t>
      </w:r>
    </w:p>
    <w:p>
      <w:pPr>
        <w:ind w:left="720" w:right="0"/>
      </w:pPr>
      <w:r>
        <w:rPr>
          <w:rStyle w:val="font_h2"/>
        </w:rPr>
        <w:t xml:space="preserve">9.23. 2020 (06) Pièce en impression 3D</w:t>
      </w:r>
    </w:p>
    <w:p>
      <w:pPr/>
      <w:r>
        <w:rPr/>
        <w:t xml:space="preserve">Validé par le Groupe Spécialisé le 24/09/2020</w:t>
      </w:r>
    </w:p>
    <w:p>
      <w:pPr/>
      <w:r>
        <w:rPr>
          <w:b/>
          <w:bCs/>
        </w:rPr>
        <w:t xml:space="preserve">Description</w:t>
      </w:r>
    </w:p>
    <w:p>
      <w:pPr/>
      <w:r>
        <w:rPr/>
        <w:t xml:space="preserve">Le GS6 accepte que les maquettes de présentation soient réalisées avec des pièces prototype en impression 3D, à condition que :</w:t>
      </w:r>
    </w:p>
    <w:p>
      <w:pPr>
        <w:pPr/>
        <w:numPr>
          <w:ilvl w:val="0"/>
          <w:numId w:val="23"/>
        </w:numPr>
      </w:pPr>
      <w:r>
        <w:rPr/>
        <w:t xml:space="preserve">la pièce 3D soit géométriquement identique à la pièce finale,</w:t>
      </w:r>
    </w:p>
    <w:p>
      <w:pPr>
        <w:pPr/>
        <w:numPr>
          <w:ilvl w:val="0"/>
          <w:numId w:val="23"/>
        </w:numPr>
      </w:pPr>
      <w:r>
        <w:rPr/>
        <w:t xml:space="preserve">une date de mise à disposition de la pièce finale soit arrêtée,</w:t>
      </w:r>
    </w:p>
    <w:p>
      <w:pPr>
        <w:pPr/>
        <w:numPr>
          <w:ilvl w:val="0"/>
          <w:numId w:val="23"/>
        </w:numPr>
      </w:pPr>
      <w:r>
        <w:rPr/>
        <w:t xml:space="preserve">la pièce finale, une fois existante, soit envoyée au CSTB pour vérifier la correspondance avec la pièce prototype (dans le délai des levées de réserves).</w:t>
      </w:r>
    </w:p>
    <w:p>
      <w:pPr>
        <w:ind w:left="720" w:right="0"/>
      </w:pPr>
      <w:r>
        <w:rPr>
          <w:rStyle w:val="font_h2"/>
        </w:rPr>
        <w:t xml:space="preserve">9.24. 2020 (09) Présentation des résultats d’étude thermique</w:t>
      </w:r>
    </w:p>
    <w:p>
      <w:pPr/>
      <w:r>
        <w:rPr/>
        <w:t xml:space="preserve">Validé par le Groupe Spécialisé le 29/10/2020</w:t>
      </w:r>
    </w:p>
    <w:p>
      <w:pPr/>
      <w:r>
        <w:rPr>
          <w:b/>
          <w:bCs/>
        </w:rPr>
        <w:t xml:space="preserve">Description</w:t>
      </w:r>
    </w:p>
    <w:p>
      <w:pPr/>
      <w:r>
        <w:rPr/>
        <w:t xml:space="preserve">Le tableau des valeurs thermique des Uw sera présenté au GS6 lors de la présentation du dossier mais ne sera pas publié (présent dans le rapport d’étude thermique du demandeur).</w:t>
      </w:r>
    </w:p>
    <w:p>
      <w:pPr>
        <w:ind w:left="720" w:right="0"/>
      </w:pPr>
      <w:r>
        <w:rPr>
          <w:rStyle w:val="font_h2"/>
        </w:rPr>
        <w:t xml:space="preserve">9.25. 2020 (09) Position sur les recouvrements minimums des garnitures centrales d'étanchéité</w:t>
      </w:r>
    </w:p>
    <w:p>
      <w:pPr/>
      <w:r>
        <w:rPr/>
        <w:t xml:space="preserve">Validé par le Groupe Spécialisé le 29/10/2020</w:t>
      </w:r>
    </w:p>
    <w:p>
      <w:pPr/>
      <w:r>
        <w:rPr>
          <w:b/>
          <w:bCs/>
        </w:rPr>
        <w:t xml:space="preserve">Description</w:t>
      </w:r>
    </w:p>
    <w:p>
      <w:pPr/>
      <w:r>
        <w:rPr/>
        <w:t xml:space="preserve">Le demandeur d’un système à garniture de joint central devra dorénavant justifier et garantir la présence d’une garniture de joint central ayant un recouvrement d’au moins 3 mm couplé à une garniture de joint de frappe intérieur avec un recouvrement effectif d’au moins 5 mm sur toute la périphérie.Cette jurisprudence sera appliquée pour les nouveaux dossiers à partir du 1er janvier 2022 et pour les révisions à partir du 1er janvier 2023.</w:t>
      </w:r>
    </w:p>
    <w:p>
      <w:pPr>
        <w:ind w:left="720" w:right="0"/>
      </w:pPr>
      <w:r>
        <w:rPr>
          <w:rStyle w:val="font_h2"/>
        </w:rPr>
        <w:t xml:space="preserve">9.26. 2020 (10) Fenêtres respirantes</w:t>
      </w:r>
    </w:p>
    <w:p>
      <w:pPr/>
      <w:r>
        <w:rPr/>
        <w:t xml:space="preserve">Validé par le Groupe Spécialisé le 10/12/2020</w:t>
      </w:r>
    </w:p>
    <w:p>
      <w:pPr/>
      <w:r>
        <w:rPr>
          <w:b/>
          <w:bCs/>
        </w:rPr>
        <w:t xml:space="preserve">Description</w:t>
      </w:r>
    </w:p>
    <w:p>
      <w:pPr/>
      <w:r>
        <w:rPr/>
        <w:t xml:space="preserve">Dans le paragraphe "références de chantier", le GS 06 demande que soit indiqué uniquement les références de chantier dont les fenêtres ont bénéficié d’un suivi lors de leur fabrication (" suivi fenêtre respirante »). Si cela n'est pas possible, il sera indiqué : "Le demandeur déclare n'avoir réalisé aucun chantier avec ce système depuis au moins 2 ans".</w:t>
      </w:r>
    </w:p>
    <w:p>
      <w:pPr>
        <w:ind w:left="720" w:right="0"/>
      </w:pPr>
      <w:r>
        <w:rPr>
          <w:rStyle w:val="font_h2"/>
        </w:rPr>
        <w:t xml:space="preserve">9.27. 2020 (10) Mise en œuvre en applique extérieure avec ITE</w:t>
      </w:r>
    </w:p>
    <w:p>
      <w:pPr/>
      <w:r>
        <w:rPr/>
        <w:t xml:space="preserve">Validé par le Groupe Spécialisé le 10/12/2020</w:t>
      </w:r>
    </w:p>
    <w:p>
      <w:pPr/>
      <w:r>
        <w:rPr>
          <w:b/>
          <w:bCs/>
        </w:rPr>
        <w:t xml:space="preserve">Description</w:t>
      </w:r>
    </w:p>
    <w:p>
      <w:pPr/>
      <w:r>
        <w:rPr/>
        <w:t xml:space="preserve">Le guide « Protection contre l’incendie des façades béton ou maçonnerie revêtues de systèmes d’isolation thermique extérieure par enduit sur polystyrène expansé (ETICS-PSE) » vient d'être mis à jour en septembre 2020. Il prévoit désormais les fenêtres mises en œuvre en applique extérieure.Dans le cas d’un domaine d’emploi visant la mise en œuvre en applique extérieure :</w:t>
      </w:r>
    </w:p>
    <w:p>
      <w:pPr>
        <w:pPr/>
        <w:numPr>
          <w:ilvl w:val="0"/>
          <w:numId w:val="24"/>
        </w:numPr>
      </w:pPr>
      <w:r>
        <w:rPr/>
        <w:t xml:space="preserve">Le paragraphe "domaine d'emploi" continuera à préciser que les ouvrages prévus dans les préconisations du guide « Protection contre l’incendie des façades béton ou maçonnerie revêtues de systèmes d’isolation thermique extérieure par bardage rapporté ventilé - Septembre 2017 » sont exclus.</w:t>
      </w:r>
    </w:p>
    <w:p>
      <w:pPr>
        <w:pPr/>
        <w:numPr>
          <w:ilvl w:val="0"/>
          <w:numId w:val="24"/>
        </w:numPr>
      </w:pPr>
      <w:r>
        <w:rPr/>
        <w:t xml:space="preserve">Le paragraphe "mise en œuvre" précisera que les préconisations du guides« Protection contre l’incendie des façades béton ou maçonnerie revêtues de systèmes d’isolation thermique extérieure par enduit sur polystyrène expansé (ETICS-PSE) – septembre 2020 » doivent être respectées.</w:t>
      </w:r>
    </w:p>
    <w:p>
      <w:pPr>
        <w:ind w:left="720" w:right="0"/>
      </w:pPr>
      <w:r>
        <w:rPr>
          <w:rStyle w:val="font_h2"/>
        </w:rPr>
        <w:t xml:space="preserve">9.28. 2020 (10) Charge maximum des vantaux</w:t>
      </w:r>
    </w:p>
    <w:p>
      <w:pPr/>
      <w:r>
        <w:rPr/>
        <w:t xml:space="preserve">Validé par le Groupe Spécialisé le 10/12/2020</w:t>
      </w:r>
    </w:p>
    <w:p>
      <w:pPr/>
      <w:r>
        <w:rPr>
          <w:b/>
          <w:bCs/>
        </w:rPr>
        <w:t xml:space="preserve">Description</w:t>
      </w:r>
    </w:p>
    <w:p>
      <w:pPr/>
      <w:r>
        <w:rPr/>
        <w:t xml:space="preserve">Le GS 06 demande que la charge maximum admissible par chariot, dans le cas des fenêtres coulissantes, ne soit plus indiquée.</w:t>
      </w:r>
    </w:p>
    <w:p>
      <w:pPr/>
      <w:r>
        <w:rPr/>
        <w:t xml:space="preserve">En revanche, dans la partie Avis - Prescriptions Techniques - Conditions de fabrication, il sera indiqué la masse des vantaux objet de l'essai d'endurance ouverture/fermeture et il sera précisé que pour des masses supérieures, il conviendra d'apporter des justifications : "Dans le cas de vitrages d’épaisseur de verre supérieure à xx mm ou de masse de vantail supérieure à xx kg, le fabricant devra s’assurer, par voie expérimentale, que la conception globale de la fenêtre (ferrage, profilés) permet de satisfaire aux critères mécaniques spécifiques prévus par la norme NF P 20-302, dans la limite des charges maximum prévues par la quincaillerie."</w:t>
      </w:r>
    </w:p>
    <w:p>
      <w:pPr/>
      <w:r>
        <w:rPr/>
        <w:t xml:space="preserve">Cette disposition s'applique également aux fenêtres à frappe.</w:t>
      </w:r>
    </w:p>
    <w:p>
      <w:pPr>
        <w:ind w:left="720" w:right="0"/>
      </w:pPr>
      <w:r>
        <w:rPr>
          <w:rStyle w:val="font_h2"/>
        </w:rPr>
        <w:t xml:space="preserve">9.29. 2020 (12) Adhésivité / cohésion dans le cas des ossatures bois</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La compatibilité et la cohésion du pare-pluie, du pare-vapeur, du calfeutrement avec les parties du dormant de la fenêtre en contact, doivent être avérée.".</w:t>
      </w:r>
    </w:p>
    <w:p>
      <w:pPr>
        <w:ind w:left="720" w:right="0"/>
      </w:pPr>
      <w:r>
        <w:rPr>
          <w:rStyle w:val="font_h2"/>
        </w:rPr>
        <w:t xml:space="preserve">9.30. 2020 (12) Mise en œuvre ITE</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Les fenêtres doivent être mises en œuvre selon les modalités du cahier CSTB 3709 v2 de juin 2015.".</w:t>
      </w:r>
    </w:p>
    <w:p>
      <w:pPr>
        <w:ind w:left="720" w:right="0"/>
      </w:pPr>
      <w:r>
        <w:rPr>
          <w:rStyle w:val="font_h2"/>
        </w:rPr>
        <w:t xml:space="preserve">9.31. 2021 (02) Mise à jour du paragraphe « système d’étanchéité »</w:t>
      </w:r>
    </w:p>
    <w:p>
      <w:pPr/>
      <w:r>
        <w:rPr/>
        <w:t xml:space="preserve">Validé par le Groupe Spécialisé le 11/03/2021</w:t>
      </w:r>
    </w:p>
    <w:p>
      <w:pPr/>
      <w:r>
        <w:rPr>
          <w:b/>
          <w:bCs/>
        </w:rPr>
        <w:t xml:space="preserve">Description</w:t>
      </w:r>
    </w:p>
    <w:p>
      <w:pPr/>
      <w:r>
        <w:rPr/>
        <w:t xml:space="preserve">Les normes NF P 85-504 et NF EN ISO 8339 n’ont plus lieu de figurer dans le DTA.</w:t>
      </w:r>
    </w:p>
    <w:p>
      <w:pPr>
        <w:ind w:left="720" w:right="0"/>
      </w:pPr>
      <w:r>
        <w:rPr>
          <w:rStyle w:val="font_h2"/>
        </w:rPr>
        <w:t xml:space="preserve">9.32. 2021 (02) Précision concernant le risque d’usure du joint central</w:t>
      </w:r>
    </w:p>
    <w:p>
      <w:pPr/>
      <w:r>
        <w:rPr/>
        <w:t xml:space="preserve">Validé par le Groupe Spécialisé le 11/03/2021</w:t>
      </w:r>
    </w:p>
    <w:p>
      <w:pPr/>
      <w:r>
        <w:rPr>
          <w:b/>
          <w:bCs/>
        </w:rPr>
        <w:t xml:space="preserve">Description</w:t>
      </w:r>
    </w:p>
    <w:p>
      <w:pPr/>
      <w:r>
        <w:rPr/>
        <w:t xml:space="preserve">Ajout de la précision « cas des portes-fenêtres » à la jurisprudence suivante : Le joint central étant porté par le dormant, il existe un risque d’usure prématurée dans le cas des portes-fenêtres, dû au passage, pouvant entrainer des baisses de performance à l’air et à l’eau.</w:t>
      </w:r>
    </w:p>
    <w:p>
      <w:pPr>
        <w:ind w:left="720" w:right="0"/>
      </w:pPr>
      <w:r>
        <w:rPr>
          <w:rStyle w:val="font_h2"/>
        </w:rPr>
        <w:t xml:space="preserve">9.33. 2021 (02) Masse des vantaux lors de l’essai d’endurance ouverture - fermeture</w:t>
      </w:r>
    </w:p>
    <w:p>
      <w:pPr/>
      <w:r>
        <w:rPr/>
        <w:t xml:space="preserve">Validé par le Groupe Spécialisé le 11/03/2021</w:t>
      </w:r>
    </w:p>
    <w:p>
      <w:pPr/>
      <w:r>
        <w:rPr>
          <w:b/>
          <w:bCs/>
        </w:rPr>
        <w:t xml:space="preserve">Description</w:t>
      </w:r>
    </w:p>
    <w:p>
      <w:pPr/>
      <w:r>
        <w:rPr/>
        <w:t xml:space="preserve">Il est décidé que la jurisprudence prise lors du GS du 29 octobre 2020 concernant la mention de la masse des vantaux objet de l'essai d'endurance ouverture/fermeture s’applique également pour les dossiers faisant l’objet d’une révision.</w:t>
      </w:r>
    </w:p>
    <w:p>
      <w:pPr>
        <w:ind w:left="720" w:right="0"/>
      </w:pPr>
      <w:r>
        <w:rPr>
          <w:rStyle w:val="font_h2"/>
        </w:rPr>
        <w:t xml:space="preserve">9.34. 2021 (03) Représentations des vitrages dans le DTED</w:t>
      </w:r>
    </w:p>
    <w:p>
      <w:pPr/>
      <w:r>
        <w:rPr/>
        <w:t xml:space="preserve">Validé par le Groupe Spécialisé le 06/05/2021</w:t>
      </w:r>
    </w:p>
    <w:p>
      <w:pPr/>
      <w:r>
        <w:rPr>
          <w:b/>
          <w:bCs/>
        </w:rPr>
        <w:t xml:space="preserve">Description</w:t>
      </w:r>
    </w:p>
    <w:p>
      <w:pPr/>
      <w:r>
        <w:rPr/>
        <w:t xml:space="preserve">Le GS6 acte que les vitrages seront systématiquement représentés avec des verres de 4 mm d’épaisseur sauf si le système ne le permet pas.Les coupes verticales seront à réalisées avec la plus grande épaisseur de vitrage et avec un verre intérieur de 4 mm d’épaisseur.</w:t>
      </w:r>
    </w:p>
    <w:p>
      <w:pPr>
        <w:ind w:left="720" w:right="0"/>
      </w:pPr>
      <w:r>
        <w:rPr>
          <w:rStyle w:val="font_h2"/>
        </w:rPr>
        <w:t xml:space="preserve">9.35. 2021 (03) Protection contre la corrosion des vis acier en contact avec l’Aluminium</w:t>
      </w:r>
    </w:p>
    <w:p>
      <w:pPr/>
      <w:r>
        <w:rPr/>
        <w:t xml:space="preserve">Validé par le Groupe Spécialisé le 06/05/2021</w:t>
      </w:r>
    </w:p>
    <w:p>
      <w:pPr/>
      <w:r>
        <w:rPr>
          <w:b/>
          <w:bCs/>
        </w:rPr>
        <w:t xml:space="preserve">Description</w:t>
      </w:r>
    </w:p>
    <w:p>
      <w:pPr/>
      <w:r>
        <w:rPr/>
        <w:t xml:space="preserve">Dans le cadre de la révision de la norme NF P23-305, le FCBA a consulté le GS6 sur le niveau de protection contre la corrosion des vis acier en contact avec l’aluminium. Le GS6 acte les protections minimales suivantes :</w:t>
      </w:r>
    </w:p>
    <w:p>
      <w:pPr>
        <w:pPr/>
        <w:numPr>
          <w:ilvl w:val="0"/>
          <w:numId w:val="25"/>
        </w:numPr>
      </w:pPr>
      <w:r>
        <w:rPr/>
        <w:t xml:space="preserve">Vis inox A2 pour la fixation d’éléments démontables.</w:t>
      </w:r>
    </w:p>
    <w:p>
      <w:pPr>
        <w:pPr/>
        <w:numPr>
          <w:ilvl w:val="0"/>
          <w:numId w:val="25"/>
        </w:numPr>
      </w:pPr>
      <w:r>
        <w:rPr/>
        <w:t xml:space="preserve">Vis zinguées de classe 4 selon la norme EN 1670 pour les éléments non démontables.</w:t>
      </w:r>
    </w:p>
    <w:p>
      <w:pPr>
        <w:ind w:left="720" w:right="0"/>
      </w:pPr>
      <w:r>
        <w:rPr>
          <w:rStyle w:val="font_h2"/>
        </w:rPr>
        <w:t xml:space="preserve">9.36. 2021 (05) Motorisation des fenêtres</w:t>
      </w:r>
    </w:p>
    <w:p>
      <w:pPr/>
      <w:r>
        <w:rPr/>
        <w:t xml:space="preserve">Validé par le Groupe Spécialisé le 17/06/2021</w:t>
      </w:r>
    </w:p>
    <w:p>
      <w:pPr/>
      <w:r>
        <w:rPr>
          <w:b/>
          <w:bCs/>
        </w:rPr>
        <w:t xml:space="preserve">Description</w:t>
      </w:r>
    </w:p>
    <w:p>
      <w:pPr/>
      <w:r>
        <w:rPr/>
        <w:t xml:space="preserve">Le GS6 souhaite pouvoir évaluer la « motorisabilité » des systèmes (profilés dédiés, assemblages, montages, impact éventuel sur le fonctionnement et/ou les performances, …) sans se prononcer sur la sécurité ou le fonctionnement du moteur.</w:t>
      </w:r>
    </w:p>
    <w:p>
      <w:pPr/>
      <w:r>
        <w:rPr/>
        <w:t xml:space="preserve">De plus, le GS6 souhaite qu'un fabricant ne puisse se revendiquer du DTA pour une fenêtre motorisée que si celui-ci est certifié dans la cadre de sa motorisation.</w:t>
      </w:r>
    </w:p>
    <w:p>
      <w:pPr>
        <w:ind w:left="720" w:right="0"/>
      </w:pPr>
      <w:r>
        <w:rPr>
          <w:rStyle w:val="font_h2"/>
        </w:rPr>
        <w:t xml:space="preserve">9.37. 2021 (06) Déformation des habillages monoparois avec L* inférieur à 82 ou non défini</w:t>
      </w:r>
    </w:p>
    <w:p>
      <w:pPr/>
      <w:r>
        <w:rPr/>
        <w:t xml:space="preserve">Validé par le Groupe Spécialisé le 30/09/2021</w:t>
      </w:r>
    </w:p>
    <w:p>
      <w:pPr/>
      <w:r>
        <w:rPr>
          <w:b/>
          <w:bCs/>
        </w:rPr>
        <w:t xml:space="preserve">Description</w:t>
      </w:r>
    </w:p>
    <w:p>
      <w:pPr/>
      <w:r>
        <w:rPr/>
        <w:t xml:space="preserve">Le GS6 souhaite modifier la phrase type utilisée lorsqu'un habillage monoparoi avec L* inférieur à 82 ou non défini est utilisé en traverse basse extérieure. La phrase "Une exposition extérieure des profilés […] ou non défini peut occasionner des déformations permanentes de ces habillages" devient "Une exposition extérieure des profilés […] ou non défini peut occasionner un désordre esthétique sous forme de déformations permanentes de ces habillages".</w:t>
      </w:r>
    </w:p>
    <w:p>
      <w:pPr>
        <w:ind w:left="720" w:right="0"/>
      </w:pPr>
      <w:r>
        <w:rPr>
          <w:rStyle w:val="font_h2"/>
        </w:rPr>
        <w:t xml:space="preserve">9.38. 2021 (06) Exigence minimum pour les profilés aluminium laqués en bord de mer</w:t>
      </w:r>
    </w:p>
    <w:p>
      <w:pPr/>
      <w:r>
        <w:rPr/>
        <w:t xml:space="preserve">Validé par le Groupe Spécialisé le 30/09/2021</w:t>
      </w:r>
    </w:p>
    <w:p>
      <w:pPr/>
      <w:r>
        <w:rPr>
          <w:b/>
          <w:bCs/>
        </w:rPr>
        <w:t xml:space="preserve">Description</w:t>
      </w:r>
    </w:p>
    <w:p>
      <w:pPr/>
      <w:r>
        <w:rPr/>
        <w:t xml:space="preserve">En ce qui concerne le laquage des profilés aluminium pour les applications en bord de mer, le GS6 exige le niveau de justification minimum suivant :</w:t>
      </w:r>
    </w:p>
    <w:p>
      <w:pPr>
        <w:pPr/>
        <w:numPr>
          <w:ilvl w:val="0"/>
          <w:numId w:val="26"/>
        </w:numPr>
      </w:pPr>
      <w:r>
        <w:rPr/>
        <w:t xml:space="preserve">label Qualimarine avec alliage qualité bâtiment selon définition du DTU 33.1 ;</w:t>
      </w:r>
    </w:p>
    <w:p>
      <w:pPr/>
      <w:r>
        <w:rPr/>
        <w:t xml:space="preserve">ou bien</w:t>
      </w:r>
    </w:p>
    <w:p>
      <w:pPr>
        <w:pPr/>
        <w:numPr>
          <w:ilvl w:val="0"/>
          <w:numId w:val="27"/>
        </w:numPr>
      </w:pPr>
      <w:r>
        <w:rPr/>
        <w:t xml:space="preserve">label Qualicoat Seaside AA1 ou AA2 minimum avec alliage qualité bâtiment selon définition du DTU 33.1.</w:t>
      </w:r>
    </w:p>
    <w:p>
      <w:pPr>
        <w:ind w:left="720" w:right="0"/>
      </w:pPr>
      <w:r>
        <w:rPr>
          <w:rStyle w:val="font_h2"/>
        </w:rPr>
        <w:t xml:space="preserve">9.39. 2021 (09) Conclusions du groupe de travail sur la dimension du recouvrement des systèmes à joints centraux</w:t>
      </w:r>
    </w:p>
    <w:p>
      <w:pPr/>
      <w:r>
        <w:rPr/>
        <w:t xml:space="preserve">Validé par le Groupe Spécialisé le 04/11/2021</w:t>
      </w:r>
    </w:p>
    <w:p>
      <w:pPr/>
      <w:r>
        <w:rPr>
          <w:b/>
          <w:bCs/>
        </w:rPr>
        <w:t xml:space="preserve">Description</w:t>
      </w:r>
    </w:p>
    <w:p>
      <w:pPr/>
      <w:r>
        <w:rPr/>
        <w:t xml:space="preserve">Sur les plans, les paramètres suivants sont mesurés en traverse basse :</w:t>
      </w:r>
    </w:p>
    <w:p>
      <w:pPr>
        <w:pPr/>
        <w:numPr>
          <w:ilvl w:val="0"/>
          <w:numId w:val="28"/>
        </w:numPr>
      </w:pPr>
      <w:r>
        <w:rPr/>
        <w:t xml:space="preserve">Rc = recouvrement nominal du joint central ;</w:t>
      </w:r>
    </w:p>
    <w:p>
      <w:pPr>
        <w:pPr/>
        <w:numPr>
          <w:ilvl w:val="0"/>
          <w:numId w:val="28"/>
        </w:numPr>
      </w:pPr>
      <w:r>
        <w:rPr/>
        <w:t xml:space="preserve">Ri = recouvrement nominal du joint de frappe intérieur (entre la partie inférieure de la contre-feuillure de l’ouvrant et la partie supérieure du dormant au niveau de la zone de frappe - voir illustration).</w:t>
      </w:r>
    </w:p>
    <w:p>
      <w:pPr/>
      <w:r>
        <w:rPr/>
        <w:t xml:space="preserve">Pour les systèmes de fenêtres à joints centraux répondant aux critères suivants, il ne sera pas nécessaire d'apporter de justifications supplémentaires par rapport à un système de fenêtre à joint de frappe intérieur :</w:t>
      </w:r>
    </w:p>
    <w:p>
      <w:pPr/>
      <w:r>
        <w:rPr/>
        <w:t xml:space="preserve">Cas 1 : Recouvrement nominal du joint central supérieur ou égale à 5 mm. (Rc ≥ 5 mm)</w:t>
      </w:r>
    </w:p>
    <w:p>
      <w:pPr/>
      <w:r>
        <w:rPr/>
        <w:t xml:space="preserve">Cas 2 : 4 ≤ Rc &lt; 5 mm</w:t>
      </w:r>
    </w:p>
    <w:p>
      <w:pPr>
        <w:pPr/>
        <w:numPr>
          <w:ilvl w:val="0"/>
          <w:numId w:val="29"/>
        </w:numPr>
      </w:pPr>
      <w:r>
        <w:rPr/>
        <w:t xml:space="preserve">Réglage possible du recouvrement ouvrant/dormant en hauteur et largeur ± 1 mm et Ri ≥ 5 mmOU</w:t>
      </w:r>
    </w:p>
    <w:p>
      <w:pPr>
        <w:pPr/>
        <w:numPr>
          <w:ilvl w:val="0"/>
          <w:numId w:val="29"/>
        </w:numPr>
      </w:pPr>
      <w:r>
        <w:rPr/>
        <w:t xml:space="preserve">Réglage possible du recouvrement ouvrant/dormant en largeur ± 1 mm et Ri ≥ 8 mm</w:t>
      </w:r>
    </w:p>
    <w:p>
      <w:pPr/>
      <w:r>
        <w:rPr/>
        <w:t xml:space="preserve">Cas 3 : 3 ≤ Rc &lt; 4 mm</w:t>
      </w:r>
    </w:p>
    <w:p>
      <w:pPr>
        <w:pPr/>
        <w:numPr>
          <w:ilvl w:val="0"/>
          <w:numId w:val="30"/>
        </w:numPr>
      </w:pPr>
      <w:r>
        <w:rPr/>
        <w:t xml:space="preserve">Réglage possible du recouvrement ouvrant/dormant en hauteur et largeur ± 2 mm et Ri ≥ 5 mmOU</w:t>
      </w:r>
    </w:p>
    <w:p>
      <w:pPr>
        <w:pPr/>
        <w:numPr>
          <w:ilvl w:val="0"/>
          <w:numId w:val="30"/>
        </w:numPr>
      </w:pPr>
      <w:r>
        <w:rPr/>
        <w:t xml:space="preserve">Réglage possible du recouvrement ouvrant/dormant en largeur ± 1 mm et Ri ≥ 8 mm</w:t>
      </w:r>
    </w:p>
    <w:p>
      <w:pPr/>
      <w:r>
        <w:rPr/>
        <w:t xml:space="preserve">Ces dispositions permettent d'assurer :</w:t>
      </w:r>
    </w:p>
    <w:p>
      <w:pPr>
        <w:pPr/>
        <w:numPr>
          <w:ilvl w:val="0"/>
          <w:numId w:val="31"/>
        </w:numPr>
      </w:pPr>
      <w:r>
        <w:rPr/>
        <w:t xml:space="preserve">Un recouvrement effectif de la garniture de joint central ≥ 3 mm en partie basse et au niveau du battement central.</w:t>
      </w:r>
    </w:p>
    <w:p>
      <w:pPr>
        <w:pPr/>
        <w:numPr>
          <w:ilvl w:val="0"/>
          <w:numId w:val="31"/>
        </w:numPr>
      </w:pPr>
      <w:r>
        <w:rPr/>
        <w:t xml:space="preserve">Un recouvrement effectif de la garniture de joint central ≥ 1 mm sur les autres côtés.</w:t>
      </w:r>
    </w:p>
    <w:p>
      <w:pPr>
        <w:pPr/>
        <w:numPr>
          <w:ilvl w:val="0"/>
          <w:numId w:val="31"/>
        </w:numPr>
      </w:pPr>
      <w:r>
        <w:rPr/>
        <w:t xml:space="preserve">Un recouvrement effectif du joint de frappe intérieur ≥ 3 mm.</w:t>
      </w:r>
    </w:p>
    <w:p>
      <w:pPr/>
      <w:r>
        <w:rPr/>
        <w:t xml:space="preserve">Lors des essais AEV sur ces systèmes, il conviendra de relever le recouvrement effectif du joint de frappe intérieur. Le DTA devra également faire figurer le recouvrement effectif minimum du joint de frappe intérieur permettant de respecter les critères sus-mentionnés.</w:t>
      </w:r>
    </w:p>
    <w:p>
      <w:pPr/>
      <w:r>
        <w:rPr>
          <w:b/>
          <w:bCs/>
        </w:rPr>
        <w:t xml:space="preserve">Illustration</w:t>
      </w:r>
    </w:p>
    <w:p>
      <w:pPr/>
      <w:r>
        <w:rPr/>
        <w:t xml:space="preserve">Illustration du Ri</w:t>
      </w:r>
    </w:p>
    <w:p>
      <w:pPr/>
      <w:r>
        <w:pict>
          <v:shape type="#_x0000_t75" style="width:128pt; height:83pt; margin-left:0pt; margin-top:0pt; mso-position-horizontal:left; mso-position-vertical:top; mso-position-horizontal-relative:char;">
            <w10:wrap type="inline"/>
            <v:imagedata r:id="rId7" o:title=""/>
          </v:shape>
        </w:pict>
      </w:r>
    </w:p>
    <w:p>
      <w:pPr>
        <w:ind w:left="720" w:right="0"/>
      </w:pPr>
      <w:r>
        <w:rPr>
          <w:rStyle w:val="font_h2"/>
        </w:rPr>
        <w:t xml:space="preserve">9.40. 2021 (11) Label Qualicoat</w:t>
      </w:r>
    </w:p>
    <w:p>
      <w:pPr/>
      <w:r>
        <w:rPr/>
        <w:t xml:space="preserve">Validé par le Groupe Spécialisé le 09/12/2021</w:t>
      </w:r>
    </w:p>
    <w:p>
      <w:pPr/>
      <w:r>
        <w:rPr>
          <w:b/>
          <w:bCs/>
        </w:rPr>
        <w:t xml:space="preserve">Description</w:t>
      </w:r>
    </w:p>
    <w:p>
      <w:pPr/>
      <w:r>
        <w:rPr/>
        <w:t xml:space="preserve">Les DTA feront référence au NF DTU 36.5 pour les définitions des alliages aluminium au lieu du NF DTU 33.1. La phrase type devient : « Ils font l’objet du label QUALICOAT, QUALIMARINE ou QUALICOAT SEASIDE (AA1 ou AA2 minimum) avec alliage qualité bâtiment selon définition du NF DTU 36.5 P1.2 pour le laquage et QUALANOD pour l’anodisation ».</w:t>
      </w:r>
    </w:p>
    <w:p>
      <w:pPr>
        <w:ind w:left="720" w:right="0"/>
      </w:pPr>
      <w:r>
        <w:rPr>
          <w:rStyle w:val="font_h2"/>
        </w:rPr>
        <w:t xml:space="preserve">9.41. 2021 (12) Systèmes de fenêtres respirantes</w:t>
      </w:r>
    </w:p>
    <w:p>
      <w:pPr/>
      <w:r>
        <w:rPr/>
        <w:t xml:space="preserve">Validé par le Groupe Spécialisé le 02/02/2022</w:t>
      </w:r>
    </w:p>
    <w:p>
      <w:pPr/>
      <w:r>
        <w:rPr>
          <w:b/>
          <w:bCs/>
        </w:rPr>
        <w:t xml:space="preserve">Description</w:t>
      </w:r>
    </w:p>
    <w:p>
      <w:pPr/>
      <w:r>
        <w:rPr/>
        <w:t xml:space="preserve">Dans le cas de système de fenêtre respirante, il conviendra d'indiquer dans les DTA, quelle est la classe d'accès au store (au sens du e-cahier 3677_V2) et quelles sont les limitations sur la température de la lame d'air qui en résultent (notamment dans le cas de fixe faux-ouvrant).</w:t>
      </w:r>
    </w:p>
    <w:p>
      <w:pPr>
        <w:ind w:left="720" w:right="0"/>
      </w:pPr>
      <w:r>
        <w:rPr>
          <w:rStyle w:val="font_h2"/>
        </w:rPr>
        <w:t xml:space="preserve">9.42. 2022 (02) Date et modalités d’application de la jurisprudence sur les systèmes de fenêtres à joints centraux</w:t>
      </w:r>
    </w:p>
    <w:p>
      <w:pPr/>
      <w:r>
        <w:rPr/>
        <w:t xml:space="preserve">Validé par le Groupe Spécialisé le 17/03/2022</w:t>
      </w:r>
    </w:p>
    <w:p>
      <w:pPr/>
      <w:r>
        <w:rPr>
          <w:b/>
          <w:bCs/>
        </w:rPr>
        <w:t xml:space="preserve">Description</w:t>
      </w:r>
    </w:p>
    <w:p>
      <w:pPr/>
      <w:r>
        <w:rPr/>
        <w:t xml:space="preserve">La jurisprudence, sur les systèmes de fenêtre à joints centraux, s’appliquera à partir de janvier 2023 pour toutes les nouvelles demandes et révisions de DTA.</w:t>
      </w:r>
    </w:p>
    <w:p>
      <w:pPr>
        <w:ind w:left="720" w:right="0"/>
      </w:pPr>
      <w:r>
        <w:rPr>
          <w:rStyle w:val="font_h2"/>
        </w:rPr>
        <w:t xml:space="preserve">9.43. 2022 (03) Modalités et date de mise en application du « Cahier 3376_V3 – Dispositions d’usinage des entailles destinées à recevoir les entrées d’air des profilés de fenêtres »</w:t>
      </w:r>
    </w:p>
    <w:p>
      <w:pPr/>
      <w:r>
        <w:rPr/>
        <w:t xml:space="preserve">Validé par le Groupe Spécialisé le 13/04/2022</w:t>
      </w:r>
    </w:p>
    <w:p>
      <w:pPr/>
      <w:r>
        <w:rPr>
          <w:b/>
          <w:bCs/>
        </w:rPr>
        <w:t xml:space="preserve">Description</w:t>
      </w:r>
    </w:p>
    <w:p>
      <w:pPr/>
      <w:r>
        <w:rPr/>
        <w:t xml:space="preserve">Le cahier 3376_V3 sera publié sous 15 jours. Il pourra être utilisé dès sa publication et sera à prendre en compte de manière systématique pour toutes les demandes présentées à partir du 01 janvier 2023.</w:t>
      </w:r>
    </w:p>
    <w:p>
      <w:pPr>
        <w:ind w:left="720" w:right="0"/>
      </w:pPr>
      <w:r>
        <w:rPr>
          <w:rStyle w:val="font_h2"/>
        </w:rPr>
        <w:t xml:space="preserve">9.44. 2022 (03) Examens des conditions de validité des systèmes avec vitrage collé</w:t>
      </w:r>
    </w:p>
    <w:p>
      <w:pPr/>
      <w:r>
        <w:rPr/>
        <w:t xml:space="preserve">Validé par le Groupe Spécialisé le 13/04/2022</w:t>
      </w:r>
    </w:p>
    <w:p>
      <w:pPr/>
      <w:r>
        <w:rPr>
          <w:b/>
          <w:bCs/>
        </w:rPr>
        <w:t xml:space="preserve">Description</w:t>
      </w:r>
    </w:p>
    <w:p>
      <w:pPr/>
      <w:r>
        <w:rPr/>
        <w:t xml:space="preserve">Le ruban adhésif VHB de la société 3M ne bénéficiant plus d’un ATE, il ne peut plus être utilisé de façon structurelle dans les DTA. Les fenêtres utilisant ce ruban doivent rester fonctionnelles et assurer la sécurité des personnes sans celui-ci.</w:t>
      </w:r>
    </w:p>
    <w:p>
      <w:pPr/>
      <w:r>
        <w:rPr/>
        <w:t xml:space="preserve">De façon générale, pour tous les systèmes collés, le fabriquant de colle devra apporter les preuvesde son engagement à :</w:t>
      </w:r>
    </w:p>
    <w:p>
      <w:pPr>
        <w:pPr/>
        <w:numPr>
          <w:ilvl w:val="0"/>
          <w:numId w:val="32"/>
        </w:numPr>
      </w:pPr>
      <w:r>
        <w:rPr/>
        <w:t xml:space="preserve">Garantir une constance de qualité de fabrication et une constance de la composition chimique.</w:t>
      </w:r>
    </w:p>
    <w:p>
      <w:pPr>
        <w:pPr/>
        <w:numPr>
          <w:ilvl w:val="0"/>
          <w:numId w:val="32"/>
        </w:numPr>
      </w:pPr>
      <w:r>
        <w:rPr/>
        <w:t xml:space="preserve">En cas de changement, informer le CSTB de toute modification de la composition de son produit.</w:t>
      </w:r>
    </w:p>
    <w:p>
      <w:pPr>
        <w:pPr/>
        <w:numPr>
          <w:ilvl w:val="0"/>
          <w:numId w:val="32"/>
        </w:numPr>
      </w:pPr>
      <w:r>
        <w:rPr/>
        <w:t xml:space="preserve">Assurer le contrôle qualité en fabrication garantissant les performances de son produit.</w:t>
      </w:r>
    </w:p>
    <w:p>
      <w:pPr>
        <w:ind w:left="720" w:right="0"/>
      </w:pPr>
      <w:r>
        <w:rPr>
          <w:rStyle w:val="font_h2"/>
        </w:rPr>
        <w:t xml:space="preserve">9.45. 2022 (05) Réaction au feu</w:t>
      </w:r>
    </w:p>
    <w:p>
      <w:pPr/>
      <w:r>
        <w:rPr/>
        <w:t xml:space="preserve">Validé par le Groupe Spécialisé le 15/06/2022</w:t>
      </w:r>
    </w:p>
    <w:p>
      <w:pPr/>
      <w:r>
        <w:rPr>
          <w:b/>
          <w:bCs/>
        </w:rPr>
        <w:t xml:space="preserve">Description</w:t>
      </w:r>
    </w:p>
    <w:p>
      <w:pPr/>
      <w:r>
        <w:rPr/>
        <w:t xml:space="preserve">Pour les systèmes présentant des PV d’essais de réaction au feu des profilés pour l’ensemble des différentes configurations possibles et si les classements obtenus sont M2 ou M1, la phrase suivante sera retirée de l’avis technique : « Pour les produits classes M3 ou M4, il est important de s’assurer de leur conformité vis-à-vis de la règlementation de sécurité incendie. ».</w:t>
      </w:r>
    </w:p>
    <w:p>
      <w:pPr>
        <w:ind w:left="720" w:right="0"/>
      </w:pPr>
      <w:r>
        <w:rPr>
          <w:rStyle w:val="font_h2"/>
        </w:rPr>
        <w:t xml:space="preserve">9.46. 2022 (05) Révision du cahier 3706 « Cahier des charges des seuils de portes-fenêtres et portes extérieures »</w:t>
      </w:r>
    </w:p>
    <w:p>
      <w:pPr/>
      <w:r>
        <w:rPr/>
        <w:t xml:space="preserve">Validé par le Groupe Spécialisé le 15/06/2022</w:t>
      </w:r>
    </w:p>
    <w:p>
      <w:pPr/>
      <w:r>
        <w:rPr>
          <w:b/>
          <w:bCs/>
        </w:rPr>
        <w:t xml:space="preserve">Description</w:t>
      </w:r>
    </w:p>
    <w:p>
      <w:pPr/>
      <w:r>
        <w:rPr/>
        <w:t xml:space="preserve">Le projet de cahier 3706_V2 est entériné.La version révisée du cahier sera applicable aux dossiers présentés au GS06 à partir du 1er janvier 2023 :</w:t>
      </w:r>
    </w:p>
    <w:p>
      <w:pPr>
        <w:pPr/>
        <w:numPr>
          <w:ilvl w:val="0"/>
          <w:numId w:val="33"/>
        </w:numPr>
      </w:pPr>
      <w:r>
        <w:rPr/>
        <w:t xml:space="preserve">Pour tous les nouveaux systèmes ;</w:t>
      </w:r>
    </w:p>
    <w:p>
      <w:pPr>
        <w:pPr/>
        <w:numPr>
          <w:ilvl w:val="0"/>
          <w:numId w:val="33"/>
        </w:numPr>
      </w:pPr>
      <w:r>
        <w:rPr/>
        <w:t xml:space="preserve">Aux systèmes existants (lors de leur révision) dès lors qu’une solution existante de seuil est modifiée ou qu’une nouvelle solution de seuil est ajoutée.</w:t>
      </w:r>
    </w:p>
    <w:p>
      <w:pPr>
        <w:ind w:left="720" w:right="0"/>
      </w:pPr>
      <w:r>
        <w:rPr>
          <w:rStyle w:val="font_h2"/>
        </w:rPr>
        <w:t xml:space="preserve">9.47. 2022 (10) Ensoleillement sur coffre avec lambrequin revêtu : valeur maximale de retrait au niveau des joues</w:t>
      </w:r>
    </w:p>
    <w:p>
      <w:pPr/>
      <w:r>
        <w:rPr/>
        <w:t xml:space="preserve">Validé par le Groupe Spécialisé le 16/11/2022</w:t>
      </w:r>
    </w:p>
    <w:p>
      <w:pPr/>
      <w:r>
        <w:rPr>
          <w:b/>
          <w:bCs/>
        </w:rPr>
        <w:t xml:space="preserve">Description</w:t>
      </w:r>
    </w:p>
    <w:p>
      <w:pPr/>
      <w:r>
        <w:rPr/>
        <w:t xml:space="preserve">Dans le cas d’un déclippage des planches, l’essai est jugé non satisfaisant et n’est pas présenté au GS.</w:t>
      </w:r>
    </w:p>
    <w:p>
      <w:pPr/>
      <w:r>
        <w:rPr/>
        <w:t xml:space="preserve">Concernant le retrait du lambrequin, compte tenu des essais déjà acceptés, le GS6 estime qu'un retrait supérieur à 2 mm est rédhibitoire.</w:t>
      </w:r>
    </w:p>
    <w:p>
      <w:pPr>
        <w:ind w:left="720" w:right="0"/>
      </w:pPr>
      <w:r>
        <w:rPr>
          <w:rStyle w:val="font_h2"/>
        </w:rPr>
        <w:t xml:space="preserve">9.48. 2022 (10) Essai d’aquarium : valeur minimum à prendre en compte pour le cisaillement</w:t>
      </w:r>
    </w:p>
    <w:p>
      <w:pPr/>
      <w:r>
        <w:rPr/>
        <w:t xml:space="preserve">Validé par le Groupe Spécialisé le 16/11/2022</w:t>
      </w:r>
    </w:p>
    <w:p>
      <w:pPr/>
      <w:r>
        <w:rPr>
          <w:b/>
          <w:bCs/>
        </w:rPr>
        <w:t xml:space="preserve">Description</w:t>
      </w:r>
    </w:p>
    <w:p>
      <w:pPr/>
      <w:r>
        <w:rPr/>
        <w:t xml:space="preserve">Pour les profilés de dormant en traverse basse de type O, la jurisprudence indique qu'il faut réaliser un essai d’aquarium sur ce profilé avec une valeur de cisaillement à 70% de sa valeur minimum déclarée. </w:t>
      </w:r>
    </w:p>
    <w:p>
      <w:pPr/>
      <w:r>
        <w:rPr/>
        <w:t xml:space="preserve">Cette jurisprudence avait été prise en prenant en compte la perte maximum autorisée au niveau de l'essai de cisaillement après hydrolyse (notamment les seuils PMR). </w:t>
      </w:r>
    </w:p>
    <w:p>
      <w:pPr/>
      <w:r>
        <w:rPr/>
        <w:t xml:space="preserve">Cependant, pour les profilés de traverse basse de type O, certains essais de cisaillement après déversement permettent de constater une perte supérieure à 30 %. </w:t>
      </w:r>
    </w:p>
    <w:p>
      <w:pPr/>
      <w:r>
        <w:rPr/>
        <w:t xml:space="preserve">La jurisprudence reste inchangée lorsqu’il n’y a pas eu d’essai de déversement réalisé sur le profilé (typiquement le cas des seuils PMR). </w:t>
      </w:r>
    </w:p>
    <w:p>
      <w:pPr/>
      <w:r>
        <w:rPr/>
        <w:t xml:space="preserve">En revanche, lorsqu'un essai de déversement a été réalisé et que la perte lors de l'essai de cisaillement est supérieure à 30%, alors l'essai d'aquarium est à réaliser sur un profilé dont la valeur de cisaillement est inférieure ou égale à la valeur de cisaillement du profilé après déversement.</w:t>
      </w:r>
    </w:p>
    <w:p>
      <w:pPr>
        <w:ind w:left="720" w:right="0"/>
      </w:pPr>
      <w:r>
        <w:rPr>
          <w:rStyle w:val="font_h2"/>
        </w:rPr>
        <w:t xml:space="preserve">9.49. 2022 (12) Quincailleries - Paumelles</w:t>
      </w:r>
    </w:p>
    <w:p>
      <w:pPr/>
      <w:r>
        <w:rPr/>
        <w:t xml:space="preserve">Validé par le Groupe Spécialisé le 02/02/2023</w:t>
      </w:r>
    </w:p>
    <w:p>
      <w:pPr/>
      <w:r>
        <w:rPr>
          <w:b/>
          <w:bCs/>
        </w:rPr>
        <w:t xml:space="preserve">Description</w:t>
      </w:r>
    </w:p>
    <w:p>
      <w:pPr/>
      <w:r>
        <w:rPr/>
        <w:t xml:space="preserve">Le GS confirme la jurisprudence concernant les fenêtres coulissantes selon laquelle les masses maximum admissibles par chariot ne devaient pas être indiquées dans les DTA. Il décide d'étendre cette jurisprudence aux systèmes à frappe : les masses maximum admissibles par paumelle ou par la quincaillerie ne seront plus indiquées dans les DTA.</w:t>
      </w:r>
    </w:p>
    <w:p>
      <w:pPr>
        <w:ind w:left="720" w:right="0"/>
      </w:pPr>
      <w:r>
        <w:rPr>
          <w:rStyle w:val="font_h2"/>
        </w:rPr>
        <w:t xml:space="preserve">9.50. 2023 (03) Opportunité de ne plus standardiser les dimensions maximales des fenêtres PVC</w:t>
      </w:r>
    </w:p>
    <w:p>
      <w:pPr/>
      <w:r>
        <w:rPr/>
        <w:t xml:space="preserve">Validé par le Groupe Spécialisé le 20/04/2023</w:t>
      </w:r>
    </w:p>
    <w:p>
      <w:pPr/>
      <w:r>
        <w:rPr>
          <w:b/>
          <w:bCs/>
        </w:rPr>
        <w:t xml:space="preserve">Description</w:t>
      </w:r>
    </w:p>
    <w:p>
      <w:pPr/>
      <w:r>
        <w:rPr/>
        <w:t xml:space="preserve">Le GS6 acte la possibilité de présenter des projets de DTA de fenêtre en PVC dont les dimensions maximales sont supérieures aux dimensions « standardisées » comme c’est déjà le cas pour les DTA de fenêtres en Aluminium RPT.</w:t>
      </w:r>
    </w:p>
    <w:p>
      <w:pPr>
        <w:ind w:left="720" w:right="0"/>
      </w:pPr>
      <w:r>
        <w:rPr>
          <w:rStyle w:val="font_h2"/>
        </w:rPr>
        <w:t xml:space="preserve">9.51. 2023 (03) Conclusions sur la simplification des DTA/AT</w:t>
      </w:r>
    </w:p>
    <w:p>
      <w:pPr/>
      <w:r>
        <w:rPr/>
        <w:t xml:space="preserve">Validé par le Groupe Spécialisé le 20/04/2023</w:t>
      </w:r>
    </w:p>
    <w:p>
      <w:pPr/>
      <w:r>
        <w:rPr>
          <w:b/>
          <w:bCs/>
        </w:rPr>
        <w:t xml:space="preserve">Description</w:t>
      </w:r>
    </w:p>
    <w:p>
      <w:pPr/>
      <w:r>
        <w:rPr/>
        <w:t xml:space="preserve">Le GS6 a acté le principe de simplification des DTA dont les dispositions sont disponibles au lien suivant. Ce lien renvoi vers la dernière version en vigueur, tenue à jour.</w:t>
      </w:r>
    </w:p>
    <w:p>
      <w:pPr>
        <w:ind w:left="720" w:right="0"/>
      </w:pPr>
      <w:r>
        <w:rPr>
          <w:rStyle w:val="font_h2"/>
        </w:rPr>
        <w:t xml:space="preserve">9.52. 2023 (06) Les isolants dans les coffres CO20/ SECMI</w:t>
      </w:r>
    </w:p>
    <w:p>
      <w:pPr/>
      <w:r>
        <w:rPr/>
        <w:t xml:space="preserve">Validé par le Groupe Spécialisé le 14/09/2023</w:t>
      </w:r>
    </w:p>
    <w:p>
      <w:pPr/>
      <w:r>
        <w:rPr>
          <w:b/>
          <w:bCs/>
        </w:rPr>
        <w:t xml:space="preserve">Description</w:t>
      </w:r>
    </w:p>
    <w:p>
      <w:pPr/>
      <w:r>
        <w:rPr/>
        <w:t xml:space="preserve">Le GS6 confirme sa jurisprudence de juin 2011 : « Le CECMI confirme l'applicabilité de l'article CO20 aux coffres de volet roulant. L'article AM8 ne s'applique pas aux isolants intégrés dans les coffres de volet roulant. ».</w:t>
      </w:r>
    </w:p>
    <w:p>
      <w:pPr>
        <w:ind w:left="720" w:right="0"/>
      </w:pPr>
      <w:r>
        <w:rPr>
          <w:rStyle w:val="font_h2"/>
        </w:rPr>
        <w:t xml:space="preserve">9.53. 2023 (06) Cas des systèmes ne pouvant pas justifier d’un essai à l’eau en méthode A</w:t>
      </w:r>
    </w:p>
    <w:p>
      <w:pPr/>
      <w:r>
        <w:rPr/>
        <w:t xml:space="preserve">Validé par le Groupe Spécialisé le 14/09/2023</w:t>
      </w:r>
    </w:p>
    <w:p>
      <w:pPr/>
      <w:r>
        <w:rPr>
          <w:b/>
          <w:bCs/>
        </w:rPr>
        <w:t xml:space="preserve">Description</w:t>
      </w:r>
    </w:p>
    <w:p>
      <w:pPr/>
      <w:r>
        <w:rPr/>
        <w:t xml:space="preserve">Pour tous les systèmes de fenêtres ne pouvant justifier d’un essai à l’eau en méthode A, il sera précisé au paragraphe 1.1.2 « Ouvrages visés » : « Pour des conditions de conception conformes au paragraphe 2 « Dossier technique » : fenêtre extérieure mise en œuvre, dans les cas où la méthode A d’essai à l’eau n’est pas requise : ».</w:t>
      </w:r>
    </w:p>
    <w:p>
      <w:pPr>
        <w:ind w:left="720" w:right="0"/>
      </w:pPr>
      <w:r>
        <w:rPr>
          <w:rStyle w:val="font_h2"/>
        </w:rPr>
        <w:t xml:space="preserve">9.54. 2023 (06) Précision sur la jurisprudence concernant la dimension minimum de 10 mm de surface plane pour le calfeutrement au dos des dormants pour les nouveaux systèmes</w:t>
      </w:r>
    </w:p>
    <w:p>
      <w:pPr/>
      <w:r>
        <w:rPr/>
        <w:t xml:space="preserve">Validé par le Groupe Spécialisé le 14/09/2023</w:t>
      </w:r>
    </w:p>
    <w:p>
      <w:pPr/>
      <w:r>
        <w:rPr>
          <w:b/>
          <w:bCs/>
        </w:rPr>
        <w:t xml:space="preserve">Description</w:t>
      </w:r>
    </w:p>
    <w:p>
      <w:pPr/>
      <w:r>
        <w:rPr/>
        <w:t xml:space="preserve">Le GS6 précise la jurisprudence d’avril 2018 sur la dimension des calfeutrements : En cas de pose en tunnel ou en rénovation avec conservation des dormants, les dormants de la nouvelle fenêtre doivent présenter une surface plane parallèle au gros œuvre ou à l’ancien dormant permettant la mise en place du calfeutrement. La dimension de cette zone de calfeutrement doit être supérieure ou égale à 10 mm (éventuellement à l’aide d’un profil complémentaire monté d’usine). Une dimension inférieure, même avec limitation du domaine d’emploi n’est pas acceptable, car peu réaliste vis-à-vis des conditions de chantier. Cette jurisprudence s’applique à tous les DTA. Dans le cas où un profilé complémentaire monté d’usine est nécessaire, il conviendra de publier un plan indiquant clairement la façon dont il est assemblé.</w:t>
      </w:r>
    </w:p>
    <w:p>
      <w:pPr>
        <w:ind w:left="720" w:right="0"/>
      </w:pPr>
      <w:r>
        <w:rPr>
          <w:rStyle w:val="font_h2"/>
        </w:rPr>
        <w:t xml:space="preserve">9.55. 2023 (06) Règles sismiques pour les fenêtres fixées sur deux côtés ou en bandes filantes</w:t>
      </w:r>
    </w:p>
    <w:p>
      <w:pPr/>
      <w:r>
        <w:rPr/>
        <w:t xml:space="preserve">Validé par le Groupe Spécialisé le 14/09/2023</w:t>
      </w:r>
    </w:p>
    <w:p>
      <w:pPr/>
      <w:r>
        <w:rPr>
          <w:b/>
          <w:bCs/>
        </w:rPr>
        <w:t xml:space="preserve">Description</w:t>
      </w:r>
    </w:p>
    <w:p>
      <w:pPr/>
      <w:r>
        <w:rPr/>
        <w:t xml:space="preserve">La jurisprudence actuelle prévoie que la phrase suivante soit indiquée dans les DTA au paragraphe « Pose en zone sismique » : « Le présent système ne présentant pas d'éléments de remplissage supérieurs à 4 m², il n'y a pas lieu d'apporter de justifications particulières (conformément au « Guide de dimensionnement parasismique des élément non structuraux du cadre bâti » de septembre 2014). ».</w:t>
      </w:r>
    </w:p>
    <w:p>
      <w:pPr/>
      <w:r>
        <w:rPr/>
        <w:t xml:space="preserve">Le GS6 souhaite que cette phrase soit modifiée comme suit : « Le présent système ne présentant pas d’éléments de remplissage supérieurs à 4 m² et ne prévoyant pas de disposition de mise en œuvre en bande filante, il n'y a pas lieu d'apporter de justifications particulières (conformément au « Guide de dimensionnement parasismique des élément non structuraux du cadre bâti » de septembre 2014). ». Dans les cas où un système de fenêtre prévoit des dispositions de mise en œuvre en bande filante, ou une fixation particulière il y aura lieu d’examiner les justifications particulières (par exemple des justifications conformes à la fiche technique n°49).</w:t>
      </w:r>
    </w:p>
    <w:p>
      <w:pPr>
        <w:ind w:left="720" w:right="0"/>
      </w:pPr>
      <w:r>
        <w:rPr>
          <w:rStyle w:val="font_h2"/>
        </w:rPr>
        <w:t xml:space="preserve">9.56. 2023 (11) Fixation des bavettes</w:t>
      </w:r>
    </w:p>
    <w:p>
      <w:pPr/>
      <w:r>
        <w:rPr/>
        <w:t xml:space="preserve">Validé par le Groupe Spécialisé le 14/12/2023</w:t>
      </w:r>
    </w:p>
    <w:p>
      <w:pPr/>
      <w:r>
        <w:rPr>
          <w:b/>
          <w:bCs/>
        </w:rPr>
        <w:t xml:space="preserve">Description</w:t>
      </w:r>
    </w:p>
    <w:p>
      <w:pPr/>
      <w:r>
        <w:rPr/>
        <w:t xml:space="preserve">Le GS6 souhaite limiter l’utilisation des bavettes « clippées collées » (non vissées). L’utilisation de ce mode de fixation est à réserver aux cas où la mise en place de la bavette est au lot menuiserie. Cela exclu de fait, l’utilisation de ce mode de fixation dans les cas de bavettes pour mise en œuvre ITE.</w:t>
      </w:r>
    </w:p>
    <w:p>
      <w:pPr>
        <w:ind w:left="720" w:right="0"/>
      </w:pPr>
      <w:r>
        <w:rPr>
          <w:rStyle w:val="font_h2"/>
        </w:rPr>
        <w:t xml:space="preserve">9.57. 2023 (11) Passage de type O à type C au sens de la norme NF EN 14024 (2023)</w:t>
      </w:r>
    </w:p>
    <w:p>
      <w:pPr/>
      <w:r>
        <w:rPr/>
        <w:t xml:space="preserve">Validé par le Groupe Spécialisé le 14/12/2023</w:t>
      </w:r>
    </w:p>
    <w:p>
      <w:pPr/>
      <w:r>
        <w:rPr>
          <w:b/>
          <w:bCs/>
        </w:rPr>
        <w:t xml:space="preserve">Description</w:t>
      </w:r>
    </w:p>
    <w:p>
      <w:pPr/>
      <w:r>
        <w:rPr/>
        <w:t xml:space="preserve">Au fur et à mesure des révisions, la référence au type O de certains profilés aluminium RPT sera remplacée par le type C, conformément à la norme NF EN 14024 (2023).</w:t>
      </w:r>
    </w:p>
    <w:p>
      <w:pPr>
        <w:ind w:left="720" w:right="0"/>
      </w:pPr>
      <w:r>
        <w:rPr>
          <w:rStyle w:val="font_h2"/>
        </w:rPr>
        <w:t xml:space="preserve">9.58. 2023 (11) Mise en œuvre nécessitant un profilé complémentaire</w:t>
      </w:r>
    </w:p>
    <w:p>
      <w:pPr/>
      <w:r>
        <w:rPr/>
        <w:t xml:space="preserve">Validé par le Groupe Spécialisé le 14/12/2023</w:t>
      </w:r>
    </w:p>
    <w:p>
      <w:pPr/>
      <w:r>
        <w:rPr>
          <w:b/>
          <w:bCs/>
        </w:rPr>
        <w:t xml:space="preserve">Description</w:t>
      </w:r>
    </w:p>
    <w:p>
      <w:pPr/>
      <w:r>
        <w:rPr/>
        <w:t xml:space="preserve">Lorsque la mise en œuvre d’une fenêtre (en tunnel par exemple) nécessite la mise en place au cul du dormant d’un profilé complémentaire il conviendra de : </w:t>
      </w:r>
    </w:p>
    <w:p>
      <w:pPr>
        <w:pPr/>
        <w:numPr>
          <w:ilvl w:val="0"/>
          <w:numId w:val="34"/>
        </w:numPr>
      </w:pPr>
      <w:r>
        <w:rPr/>
        <w:t xml:space="preserve">le préciser dans le paragraphe « domaine d’emploi », </w:t>
      </w:r>
    </w:p>
    <w:p>
      <w:pPr>
        <w:pPr/>
        <w:numPr>
          <w:ilvl w:val="0"/>
          <w:numId w:val="34"/>
        </w:numPr>
      </w:pPr>
      <w:r>
        <w:rPr/>
        <w:t xml:space="preserve">l’indiquer dans le paragraphe « remarques complémentaires du groupe spécialisé », </w:t>
      </w:r>
    </w:p>
    <w:p>
      <w:pPr>
        <w:pPr/>
        <w:numPr>
          <w:ilvl w:val="0"/>
          <w:numId w:val="34"/>
        </w:numPr>
      </w:pPr>
      <w:r>
        <w:rPr/>
        <w:t xml:space="preserve">présenter dans le dossier publié un schéma montrant la mise en place de ce profilé et son interaction avec le gros œuvre.</w:t>
      </w:r>
    </w:p>
    <w:p>
      <w:pPr>
        <w:ind w:left="720" w:right="0"/>
      </w:pPr>
      <w:r>
        <w:rPr>
          <w:rStyle w:val="font_h2"/>
        </w:rPr>
        <w:t xml:space="preserve">9.59. 2023 (12) Diffusions restreintes (ou terme équivalents)</w:t>
      </w:r>
    </w:p>
    <w:p>
      <w:pPr/>
      <w:r>
        <w:rPr/>
        <w:t xml:space="preserve">Validé par le Groupe Spécialisé le 01/02/2024</w:t>
      </w:r>
    </w:p>
    <w:p>
      <w:pPr/>
      <w:r>
        <w:rPr>
          <w:b/>
          <w:bCs/>
        </w:rPr>
        <w:t xml:space="preserve">Description</w:t>
      </w:r>
    </w:p>
    <w:p>
      <w:pPr/>
      <w:r>
        <w:rPr/>
        <w:t xml:space="preserve">Le GS6 ne souhaite plus voir apparaitre dans les dossiers les termes « diffusion restreinte », « diffusion spécifique », etc… Le GS6 se prononce sur la durabilité, la faisabilité et la capacité à mettre en œuvre un système : le DTA n’a pas vocation à être un catalogue technique.</w:t>
      </w:r>
    </w:p>
    <w:p>
      <w:pPr>
        <w:ind w:left="720" w:right="0"/>
      </w:pPr>
      <w:r>
        <w:rPr>
          <w:rStyle w:val="font_h2"/>
        </w:rPr>
        <w:t xml:space="preserve">9.60. 2023 (12) Pièce imprimée en 3D</w:t>
      </w:r>
    </w:p>
    <w:p>
      <w:pPr/>
      <w:r>
        <w:rPr/>
        <w:t xml:space="preserve">Validé par le Groupe Spécialisé le 01/02/2024</w:t>
      </w:r>
    </w:p>
    <w:p>
      <w:pPr/>
      <w:r>
        <w:rPr>
          <w:b/>
          <w:bCs/>
        </w:rPr>
        <w:t xml:space="preserve">Description</w:t>
      </w:r>
    </w:p>
    <w:p>
      <w:pPr/>
      <w:r>
        <w:rPr/>
        <w:t xml:space="preserve">En complément de la jurisprudence « 2018 (12) Pièces en impression 3D », les éléments concernés (réalisés en impression 3D) seront identifiés dans le DTA présenté en GS6 (tout comme le sont déjà les profilés métalliques RPT type C). L’identification des pièces en impression 3D ne sera pas conservée dans le dossier publié.</w:t>
      </w:r>
    </w:p>
    <w:p>
      <w:pPr>
        <w:ind w:left="720" w:right="0"/>
      </w:pPr>
      <w:r>
        <w:rPr>
          <w:rStyle w:val="font_h2"/>
        </w:rPr>
        <w:t xml:space="preserve">9.61. 2023 (12) Cas de pose PMR avec dalles sur plots</w:t>
      </w:r>
    </w:p>
    <w:p>
      <w:pPr/>
      <w:r>
        <w:rPr/>
        <w:t xml:space="preserve">Validé par le Groupe Spécialisé le 01/02/2024</w:t>
      </w:r>
    </w:p>
    <w:p>
      <w:pPr/>
      <w:r>
        <w:rPr>
          <w:b/>
          <w:bCs/>
        </w:rPr>
        <w:t xml:space="preserve">Description</w:t>
      </w:r>
    </w:p>
    <w:p>
      <w:pPr/>
      <w:r>
        <w:rPr/>
        <w:t xml:space="preserve">Dans le cas où le demandeur souhaiterait que le domaine d’emploi de son système inclus la mise en œuvre PMR avec dalles sur plots (en remplacement d’un caillebotis) il conviendra de réaliser l’essai suivant : essai E*, réalisé au CSTB, avec une plaque pleine (type contreplaqué) simulant une dalle, positionnée à 5 mm du nez du seuil PMR.</w:t>
      </w:r>
    </w:p>
    <w:p>
      <w:pPr>
        <w:ind w:left="720" w:right="0"/>
      </w:pPr>
      <w:r>
        <w:rPr>
          <w:rStyle w:val="font_h2"/>
        </w:rPr>
        <w:t xml:space="preserve">9.62. 2023 (12) Prise en feuillure des vitrages</w:t>
      </w:r>
    </w:p>
    <w:p>
      <w:pPr/>
      <w:r>
        <w:rPr/>
        <w:t xml:space="preserve">Validé par le Groupe Spécialisé le 01/02/2024</w:t>
      </w:r>
    </w:p>
    <w:p>
      <w:pPr/>
      <w:r>
        <w:rPr>
          <w:b/>
          <w:bCs/>
        </w:rPr>
        <w:t xml:space="preserve">Description</w:t>
      </w:r>
    </w:p>
    <w:p>
      <w:pPr/>
      <w:r>
        <w:rPr/>
        <w:t xml:space="preserve">La prise en feuillure minimale nécessaire pour assurer la sécurité aux chutes des personnes sera prise en compte vis-à-vis de la joue de feuillure extérieure du dormant conformément au DTU 39 mais pas par rapport à la hauteur de la parclose intérieure.</w:t>
      </w:r>
    </w:p>
    <w:p>
      <w:pPr>
        <w:ind w:left="720" w:right="0"/>
      </w:pPr>
      <w:r>
        <w:rPr>
          <w:rStyle w:val="font_h2"/>
        </w:rPr>
        <w:t xml:space="preserve">9.63. 2024 (02) Mise en œuvre sur ossature métallique dans le domaine emploi</w:t>
      </w:r>
    </w:p>
    <w:p>
      <w:pPr/>
      <w:r>
        <w:rPr/>
        <w:t xml:space="preserve">Validé par le Groupe Spécialisé le 13/03/2024</w:t>
      </w:r>
    </w:p>
    <w:p>
      <w:pPr/>
      <w:r>
        <w:rPr>
          <w:b/>
          <w:bCs/>
        </w:rPr>
        <w:t xml:space="preserve">Description</w:t>
      </w:r>
    </w:p>
    <w:p>
      <w:pPr/>
      <w:r>
        <w:rPr/>
        <w:t xml:space="preserve">Pour justifier de l’ajout de la mise en œuvre sur ossature métallique dans le domaine d’emploi de son système, le demandeur devra fournir un plan de mise en œuvre en tunnel.</w:t>
      </w:r>
    </w:p>
    <w:p>
      <w:pPr>
        <w:ind w:left="720" w:right="0"/>
      </w:pPr>
      <w:r>
        <w:rPr>
          <w:rStyle w:val="font_h2"/>
        </w:rPr>
        <w:t xml:space="preserve">9.64. 2024 (03) Lame occultante</w:t>
      </w:r>
    </w:p>
    <w:p>
      <w:pPr/>
      <w:r>
        <w:rPr/>
        <w:t xml:space="preserve">Validé par le Groupe Spécialisé le 16/05/2024</w:t>
      </w:r>
    </w:p>
    <w:p>
      <w:pPr/>
      <w:r>
        <w:rPr>
          <w:b/>
          <w:bCs/>
        </w:rPr>
        <w:t xml:space="preserve">Description</w:t>
      </w:r>
    </w:p>
    <w:p>
      <w:pPr/>
      <w:r>
        <w:rPr/>
        <w:t xml:space="preserve">Les lames occultantes ne seront plus présentées dans les AT de coffre de volet roulant et/ou store vénitien extérieur.</w:t>
      </w:r>
    </w:p>
    <w:p>
      <w:pPr>
        <w:ind w:left="720" w:right="0"/>
      </w:pPr>
      <w:r>
        <w:rPr>
          <w:rStyle w:val="font_h2"/>
        </w:rPr>
        <w:t xml:space="preserve">9.65. 2024 (03) FDES des coffres</w:t>
      </w:r>
    </w:p>
    <w:p>
      <w:pPr/>
      <w:r>
        <w:rPr/>
        <w:t xml:space="preserve">Validé par le Groupe Spécialisé le 16/05/2024</w:t>
      </w:r>
    </w:p>
    <w:p>
      <w:pPr/>
      <w:r>
        <w:rPr>
          <w:b/>
          <w:bCs/>
        </w:rPr>
        <w:t xml:space="preserve">Description</w:t>
      </w:r>
    </w:p>
    <w:p>
      <w:pPr/>
      <w:r>
        <w:rPr/>
        <w:t xml:space="preserve">Seules les FDES incluant le coffre de volet seront prises en compte. Dans le cas où la FDES couvre un système complet, cela sera précisé.</w:t>
      </w:r>
    </w:p>
    <w:p>
      <w:pPr>
        <w:ind w:left="720" w:right="0"/>
      </w:pPr>
      <w:r>
        <w:rPr>
          <w:rStyle w:val="font_h2"/>
        </w:rPr>
        <w:t xml:space="preserve">9.66. 2024 (03) Entrées d’air</w:t>
      </w:r>
    </w:p>
    <w:p>
      <w:pPr/>
      <w:r>
        <w:rPr/>
        <w:t xml:space="preserve">Validé par le Groupe Spécialisé le 16/05/2024</w:t>
      </w:r>
    </w:p>
    <w:p>
      <w:pPr/>
      <w:r>
        <w:rPr>
          <w:b/>
          <w:bCs/>
        </w:rPr>
        <w:t xml:space="preserve">Description</w:t>
      </w:r>
    </w:p>
    <w:p>
      <w:pPr/>
      <w:r>
        <w:rPr/>
        <w:t xml:space="preserve">Dans le cas où le système de coffres de volets roulants et/ou stores vénitiens extérieurs ne permet pas de satisfaire aux exigences du cahier 3376_V3 de mars 2022, il sera ajouté la phrase suivante dans les remarques complémentaires du GS : « Ce système ne peut être mis en œuvre que dans des bâtiments équipés de système de ventilation de type double flux ou lorsque les entrées d’air sont mises en œuvre dans les murs. ».</w:t>
      </w:r>
    </w:p>
    <w:p>
      <w:pPr>
        <w:ind w:left="720" w:right="0"/>
      </w:pPr>
      <w:r>
        <w:rPr>
          <w:rStyle w:val="font_h2"/>
        </w:rPr>
        <w:t xml:space="preserve">9.67. 2024 (03) Traitement en fin de vie</w:t>
      </w:r>
    </w:p>
    <w:p>
      <w:pPr/>
      <w:r>
        <w:rPr/>
        <w:t xml:space="preserve">Validé par le Groupe Spécialisé le 16/05/2024</w:t>
      </w:r>
    </w:p>
    <w:p>
      <w:pPr/>
      <w:r>
        <w:rPr>
          <w:b/>
          <w:bCs/>
        </w:rPr>
        <w:t xml:space="preserve">Description</w:t>
      </w:r>
    </w:p>
    <w:p>
      <w:pPr/>
      <w:r>
        <w:rPr/>
        <w:t xml:space="preserve">A partir du GS de mai, il sera ajouté dans la trame de DTA, au paragraphe « Traitement en fin de vie », le texte suivant : « Les fenêtres déposées sur des chantiers de déconstruction ou de rénovation, peuvent être collectées au travers du réseau du point de collecte mis en place par les éco-organismes accrédités par les pouvoirs publics, dans le cadre de la filière de responsabilité élargie du producteur pour les produits et matériaux de construction du bâtiment. Les produits collectés sont ensuite orientés vers les circuits de démantèlement et de valorisation des différents matériaux constitutifs de ces produits. ».</w:t>
      </w:r>
    </w:p>
    <w:p>
      <w:pPr>
        <w:ind w:left="720" w:right="0"/>
      </w:pPr>
      <w:r>
        <w:rPr>
          <w:rStyle w:val="font_h2"/>
        </w:rPr>
        <w:t xml:space="preserve">9.68. 2024 (03) Evolutions mineures : mise à jour de la liste exhaustive pour évolutions mineures</w:t>
      </w:r>
    </w:p>
    <w:p>
      <w:pPr/>
      <w:r>
        <w:rPr/>
        <w:t xml:space="preserve">Validé par le Groupe Spécialisé le 16/05/2024</w:t>
      </w:r>
    </w:p>
    <w:p>
      <w:pPr/>
      <w:r>
        <w:rPr>
          <w:b/>
          <w:bCs/>
        </w:rPr>
        <w:t xml:space="preserve">Description</w:t>
      </w:r>
    </w:p>
    <w:p>
      <w:pPr/>
      <w:r>
        <w:rPr/>
        <w:t xml:space="preserve">Parmi les propositions faites au GS6, les propositions de modifications suivantes ont été retenues :</w:t>
      </w:r>
    </w:p>
    <w:tbl>
      <w:tblGrid>
        <w:gridCol/>
        <w:gridCol/>
      </w:tblGrid>
      <w:tblPr>
        <w:tblW w:w="0" w:type="auto"/>
        <w:tblLayout w:type="autofit"/>
      </w:tblPr>
      <w:tr>
        <w:trPr>
          <w:tblHeader w:val="1"/>
        </w:trPr>
        <w:tc>
          <w:tcPr/>
          <w:p>
            <w:pPr/>
            <w:r>
              <w:rPr/>
              <w:t xml:space="preserve">Elément de la liste existante</w:t>
            </w:r>
          </w:p>
        </w:tc>
        <w:tc>
          <w:tcPr/>
          <w:p>
            <w:pPr/>
            <w:r>
              <w:rPr/>
              <w:t xml:space="preserve">Mise à jour retenue</w:t>
            </w:r>
          </w:p>
        </w:tc>
      </w:tr>
      <w:tr>
        <w:trPr/>
        <w:tc>
          <w:tcPr/>
          <w:p>
            <w:pPr/>
            <w:r>
              <w:rPr/>
              <w:t xml:space="preserve">Coffre : ajout isolant thermique avec un lambda différent, moule ou découpe au fil, sans modification de forme.</w:t>
            </w:r>
          </w:p>
        </w:tc>
        <w:tc>
          <w:tcPr/>
          <w:p>
            <w:pPr/>
            <w:r>
              <w:rPr/>
              <w:t xml:space="preserve">Le rapport d’étude thermique attesté conforme devra être mis en conformité avec les règles du cahier 3783 le cas échéant.</w:t>
            </w:r>
          </w:p>
        </w:tc>
      </w:tr>
      <w:tr>
        <w:trPr/>
        <w:tc>
          <w:tcPr/>
          <w:p>
            <w:pPr/>
            <w:r>
              <w:rPr/>
              <w:t xml:space="preserve">Modification matière garniture de joint pour partie fixe dormant ou parclose intérieure uniquement.</w:t>
            </w:r>
          </w:p>
        </w:tc>
        <w:tc>
          <w:tcPr/>
          <w:p>
            <w:pPr/>
            <w:r>
              <w:rPr/>
              <w:t xml:space="preserve">Devient : « Modification matière garniture de joint pour joint de vitrage sauf parclose extérieure ».</w:t>
            </w:r>
          </w:p>
        </w:tc>
      </w:tr>
      <w:tr>
        <w:trPr/>
        <w:tc>
          <w:tcPr/>
          <w:p>
            <w:pPr/>
            <w:r>
              <w:rPr/>
              <w:t xml:space="preserve">Modification de la géométrie non fonctionnelle (voir image) des profiles suivants :</w:t>
            </w:r>
          </w:p>
        </w:tc>
        <w:tc>
          <w:tcPr/>
          <w:p>
            <w:pPr/>
            <w:r>
              <w:rPr/>
              <w:t xml:space="preserve">Ajout ou modification des profilés suivants, à condition que la seule modification concerne la géométrie non fonctionnelle (voir image) :</w:t>
            </w:r>
          </w:p>
        </w:tc>
      </w:tr>
      <w:tr>
        <w:trPr/>
        <w:tc>
          <w:tcPr/>
          <w:p>
            <w:pPr/>
            <w:r>
              <w:rPr/>
              <w:t xml:space="preserve">Changement de référence (sans changement de pièce).</w:t>
            </w:r>
          </w:p>
        </w:tc>
        <w:tc>
          <w:tcPr/>
          <w:p>
            <w:pPr/>
            <w:r>
              <w:rPr/>
              <w:t xml:space="preserve">Changement de référence (sans modification de la pièce ou du profilé).</w:t>
            </w:r>
          </w:p>
        </w:tc>
      </w:tr>
    </w:tbl>
    <w:p>
      <w:pPr/>
      <w:r>
        <w:rPr/>
        <w:t xml:space="preserve">Parmi les propositions faites au GS6, les propositions de nouvelles modifications mineures suivantes ont été retenues : </w:t>
      </w:r>
    </w:p>
    <w:p>
      <w:pPr>
        <w:pPr/>
        <w:numPr>
          <w:ilvl w:val="0"/>
          <w:numId w:val="35"/>
        </w:numPr>
      </w:pPr>
      <w:r>
        <w:rPr/>
        <w:t xml:space="preserve">Intégration d’une nouvelle unité d’extrusion pour des profilés en matière « PX », à condition que la nouvelle unité soit déjà suivie dans le cadre d’un suivi DTA pour de l’extrusion de profilés ;</w:t>
      </w:r>
    </w:p>
    <w:p>
      <w:pPr>
        <w:pPr/>
        <w:numPr>
          <w:ilvl w:val="0"/>
          <w:numId w:val="35"/>
        </w:numPr>
      </w:pPr>
      <w:r>
        <w:rPr/>
        <w:t xml:space="preserve">Passage d’une pièce non structurelle imprimée en 3D, vers une pièce réalisée par injection (forme et matière restant identiques). </w:t>
      </w:r>
    </w:p>
    <w:p>
      <w:pPr/>
      <w:r>
        <w:rPr/>
        <w:t xml:space="preserve">Ce lien renvoi vers la dernière version en vigueur, tenue à jour.</w:t>
      </w:r>
    </w:p>
    <w:p>
      <w:pPr>
        <w:ind w:left="720" w:right="0"/>
      </w:pPr>
      <w:r>
        <w:rPr>
          <w:rStyle w:val="font_h2"/>
        </w:rPr>
        <w:t xml:space="preserve">9.69. 2024 (05) Entretien des fenêtres respirantes</w:t>
      </w:r>
    </w:p>
    <w:p>
      <w:pPr/>
      <w:r>
        <w:rPr/>
        <w:t xml:space="preserve">Validé par le Groupe Spécialisé le 26/06/2024</w:t>
      </w:r>
    </w:p>
    <w:p>
      <w:pPr/>
      <w:r>
        <w:rPr>
          <w:b/>
          <w:bCs/>
        </w:rPr>
        <w:t xml:space="preserve">Description</w:t>
      </w:r>
    </w:p>
    <w:p>
      <w:pPr/>
      <w:r>
        <w:rPr/>
        <w:t xml:space="preserve">Pour les DTA de fenêtres respirantes, le GS6 souhaite que lui soient présentées les procédures de nettoyage et de remplacement des filtres. Ces procédures seront expliquées dans le paragraphe « Maintien en service du produit » du DTA publié. Cela s’applique pour les dossiers présentés à partir du 26 juin 2024.</w:t>
      </w:r>
    </w:p>
    <w:p>
      <w:pPr>
        <w:ind w:left="720" w:right="0"/>
      </w:pPr>
      <w:r>
        <w:rPr>
          <w:rStyle w:val="font_h2"/>
        </w:rPr>
        <w:t xml:space="preserve">9.70. 2024 (05) Références chantiers des fenêtres respirantes</w:t>
      </w:r>
    </w:p>
    <w:p>
      <w:pPr/>
      <w:r>
        <w:rPr/>
        <w:t xml:space="preserve">Validé par le Groupe Spécialisé le 26/06/2024</w:t>
      </w:r>
    </w:p>
    <w:p>
      <w:pPr/>
      <w:r>
        <w:rPr>
          <w:b/>
          <w:bCs/>
        </w:rPr>
        <w:t xml:space="preserve">Description</w:t>
      </w:r>
    </w:p>
    <w:p>
      <w:pPr/>
      <w:r>
        <w:rPr/>
        <w:t xml:space="preserve">Pour les DTA de fenêtres respirantes, seuls les chantiers ayant fait l’objet d’un suivi pourront être indiqués dans la partie « Références de chantiers ». Lors de chaque révision, les références de chantiers ayant eu lieu depuis la dernière révision et ayant fait l’objet d’un suivi devront être indiquées. Dans le cas où aucun chantier ayant fait l’objet d’un suivi n’a eu lieu, il sera indiqué « Le demandeur déclare n'avoir réalisé aucun chantier avec ce système depuis au moins 2 ans. ».</w:t>
      </w:r>
    </w:p>
    <w:p>
      <w:pPr>
        <w:ind w:left="720" w:right="0"/>
      </w:pPr>
      <w:r>
        <w:rPr>
          <w:rStyle w:val="font_h2"/>
        </w:rPr>
        <w:t xml:space="preserve">9.71. 2024 (05) Rédaction pour les fenêtres respirantes</w:t>
      </w:r>
    </w:p>
    <w:p>
      <w:pPr/>
      <w:r>
        <w:rPr/>
        <w:t xml:space="preserve">Validé par le Groupe Spécialisé le 26/06/2024</w:t>
      </w:r>
    </w:p>
    <w:p>
      <w:pPr/>
      <w:r>
        <w:rPr>
          <w:b/>
          <w:bCs/>
        </w:rPr>
        <w:t xml:space="preserve">Description</w:t>
      </w:r>
    </w:p>
    <w:p>
      <w:pPr/>
      <w:r>
        <w:rPr/>
        <w:t xml:space="preserve">Pour les DTA de fenêtres respirantes :</w:t>
      </w:r>
    </w:p>
    <w:p>
      <w:pPr>
        <w:pPr/>
        <w:numPr>
          <w:ilvl w:val="0"/>
          <w:numId w:val="36"/>
        </w:numPr>
      </w:pPr>
      <w:r>
        <w:rPr/>
        <w:t xml:space="preserve">l’encart spécifique en première page du DTA est complété et devient « Ne peuvent se prévaloir du présent Document Technique d’Application que les unités de fabrication bénéficiant d’un suivi par un organisme tiers conformément au e-cahier du CSTB 3759 » ;</w:t>
      </w:r>
    </w:p>
    <w:p>
      <w:pPr>
        <w:pPr/>
        <w:numPr>
          <w:ilvl w:val="0"/>
          <w:numId w:val="36"/>
        </w:numPr>
      </w:pPr>
      <w:r>
        <w:rPr/>
        <w:t xml:space="preserve">la remarque du GS6 devient « Compte tenu de la sensibilité de fabrication de ce système, seules les unités de fabrication bénéficiant d’un suivi par un organisme tiers, conformément au e-cahier du CSTB 3759, peuvent se prévaloir du présent Document Technique d’Application. La liste des unités bénéficiant d'un tel suivi peut être consultée à l'adresse suivante : </w:t>
      </w:r>
      <w:hyperlink r:id="rId8" w:history="1">
        <w:r>
          <w:rPr/>
          <w:t xml:space="preserve">https://www.ccfat.fr/produits-procedes/famille/443/</w:t>
        </w:r>
      </w:hyperlink>
      <w:r>
        <w:rPr/>
        <w:t xml:space="preserve"> ».</w:t>
      </w:r>
    </w:p>
    <w:p>
      <w:pPr>
        <w:ind w:left="720" w:right="0"/>
      </w:pPr>
      <w:r>
        <w:rPr>
          <w:rStyle w:val="font_h2"/>
        </w:rPr>
        <w:t xml:space="preserve">9.72. 2024 (06) Dispositions spécifiques aux seuils PMR</w:t>
      </w:r>
    </w:p>
    <w:p>
      <w:pPr/>
      <w:r>
        <w:rPr/>
        <w:t xml:space="preserve">Validé par le Groupe Spécialisé le 12/09/2024</w:t>
      </w:r>
    </w:p>
    <w:p>
      <w:pPr/>
      <w:r>
        <w:rPr>
          <w:b/>
          <w:bCs/>
        </w:rPr>
        <w:t xml:space="preserve">Description</w:t>
      </w:r>
    </w:p>
    <w:p>
      <w:pPr/>
      <w:r>
        <w:rPr/>
        <w:t xml:space="preserve">En partie 2.4 « Dispositions de mise en œuvre », le paragraphe « Cas des dispositions PMR » est ajouté. Celui-ci précise les cas d’utilisation, soit « Des caillebottis doivent être utilisés dans le cadre de la mise en œuvre PMR. », soit « Des caillebottis mais aussi des dalles sur plots peuvent être utilisés dans le cadre de la mise en œuvre PMR. ». Cette phrase est à adapter selon le contenu du DTA et les justifications fournies. Un essai d’étanchéité à l’eau satisfaisant avec un dispositif simulant les dalles sur plot sera nécessaire pour que cette disposition soit ajoutée à ce nouveau paragraphe.</w:t>
      </w:r>
    </w:p>
    <w:p>
      <w:pPr>
        <w:ind w:left="720" w:right="0"/>
      </w:pPr>
      <w:r>
        <w:rPr>
          <w:rStyle w:val="font_h2"/>
        </w:rPr>
        <w:t xml:space="preserve">9.73. 2024 (11) Efforts de manœuvres</w:t>
      </w:r>
    </w:p>
    <w:p>
      <w:pPr/>
      <w:r>
        <w:rPr/>
        <w:t xml:space="preserve">Validé par le Groupe Spécialisé le 19/12/2024</w:t>
      </w:r>
    </w:p>
    <w:p>
      <w:pPr/>
      <w:r>
        <w:rPr>
          <w:b/>
          <w:bCs/>
        </w:rPr>
        <w:t xml:space="preserve">Description</w:t>
      </w:r>
    </w:p>
    <w:p>
      <w:pPr/>
      <w:r>
        <w:rPr/>
        <w:t xml:space="preserve">Le GS6 estime qu’un effort de manœuvre pour l’ouverture ou la fermeture des fenêtres en position soufflet supérieur ou égal à 150 N n’est pas recevable.Pour les efforts compris entre 120 N et 150 N, le GS6 examinera les dispositions techniques au cas par cas.</w:t>
      </w:r>
    </w:p>
    <w:p>
      <w:pPr>
        <w:ind w:left="720" w:right="0"/>
      </w:pPr>
      <w:r>
        <w:rPr>
          <w:rStyle w:val="font_h2"/>
        </w:rPr>
        <w:t xml:space="preserve">9.74. 2025 (02) Justification de la compatibilité et de l’adhésivité-cohésion des mastics</w:t>
      </w:r>
    </w:p>
    <w:p>
      <w:pPr/>
      <w:r>
        <w:rPr/>
        <w:t xml:space="preserve">Validé par le Groupe Spécialisé le 13/03/2025</w:t>
      </w:r>
    </w:p>
    <w:p>
      <w:pPr/>
      <w:r>
        <w:rPr>
          <w:b/>
          <w:bCs/>
        </w:rPr>
        <w:t xml:space="preserve">Description</w:t>
      </w:r>
    </w:p>
    <w:p>
      <w:pPr/>
      <w:r>
        <w:rPr/>
        <w:t xml:space="preserve">La compatibilité des mastics/silicones est à justifier systématiquement pour chaque contact avec un matériau environnant (hors profilés de fenêtre (PVC, alu, acier) sauf cas particuliers). Cette justification consiste en la réalisation d’un essai conformément au NF DTU 39 P1-2 Annexe A.2.Dans les cas où l’adhésivité-cohésion des mastics/silicones est à justifier, elle doit l’être avec chaque matériau environnant (profilés, accessoires, fond de joints, …) à l’aide d’essais de convenance selon les procédures définies dans le NF DTU 36.5 P1-1.</w:t>
      </w:r>
    </w:p>
    <w:p>
      <w:pPr>
        <w:ind w:left="720" w:right="0"/>
      </w:pPr>
      <w:r>
        <w:rPr>
          <w:rStyle w:val="font_h2"/>
        </w:rPr>
        <w:t xml:space="preserve">9.75. 2025 (03) Protection de la traverse haute dans le cas des bardages ventilés</w:t>
      </w:r>
    </w:p>
    <w:p>
      <w:pPr/>
      <w:r>
        <w:rPr/>
        <w:t xml:space="preserve">Validé par le Groupe Spécialisé le 15/05/2025</w:t>
      </w:r>
    </w:p>
    <w:p>
      <w:pPr/>
      <w:r>
        <w:rPr>
          <w:b/>
          <w:bCs/>
        </w:rPr>
        <w:t xml:space="preserve">Description</w:t>
      </w:r>
    </w:p>
    <w:p>
      <w:pPr/>
      <w:r>
        <w:rPr/>
        <w:t xml:space="preserve">La phrase « Dans le cas de mise en œuvre en ITE avec bardage ventilé, il y aura lieu de prévoir une protection de la traverse haute de manière systématique (de type membrane, larmier, …). » sera ajoutée systématiquement dans chapitre Dispositions de mise en œuvre, dans le paragraphe Cas de l’ITE.</w:t>
      </w:r>
    </w:p>
    <w:p>
      <w:pPr>
        <w:ind w:left="720" w:right="0"/>
      </w:pPr>
      <w:r>
        <w:rPr>
          <w:rStyle w:val="font_h2"/>
        </w:rPr>
        <w:t xml:space="preserve">9.76. 2025 (06) Essais d’endurance ouverture-fermeture sur porte-fenêtre OB2</w:t>
      </w:r>
    </w:p>
    <w:p>
      <w:pPr/>
      <w:r>
        <w:rPr/>
        <w:t xml:space="preserve">Validé par le Groupe Spécialisé le 18/09/2025</w:t>
      </w:r>
    </w:p>
    <w:p>
      <w:pPr/>
      <w:r>
        <w:rPr>
          <w:b/>
          <w:bCs/>
        </w:rPr>
        <w:t xml:space="preserve">Description</w:t>
      </w:r>
    </w:p>
    <w:p>
      <w:pPr/>
      <w:r>
        <w:rPr/>
        <w:t xml:space="preserve">Rappel de la jurisprudence de mars 2012 :Lorsqu'un projet de DTA comporte une porte-fenêtre OB2, un essai d'endurance ouverture/fermeture et essais mécaniques spécifiques devront être réalisés dans cette configuration.</w:t>
      </w:r>
    </w:p>
    <w:p>
      <w:pPr/>
      <w:r>
        <w:rPr/>
        <w:t xml:space="preserve">Le GS6 souhaite modifier cette jurisprudence de la manière suivante :Lorsqu'un projet de DTA comporte une porte-fenêtre OB2, un essai d'endurance ouverture/fermeture et des essais mécaniques spécifiques devront être réalisés dans cette configuration, hormis dans les cas où la gâche permettant le basculement en OB est portée sur le dormant.</w:t>
      </w:r>
    </w:p>
    <w:p>
      <w:pPr>
        <w:ind w:left="720" w:right="0"/>
      </w:pPr>
      <w:r>
        <w:rPr>
          <w:rStyle w:val="font_h2"/>
        </w:rPr>
        <w:t xml:space="preserve">9.77. 2025 (06) Réalisation de l’essai à l’eau E* avec reconstitution de dalle sur plot</w:t>
      </w:r>
    </w:p>
    <w:p>
      <w:pPr/>
      <w:r>
        <w:rPr/>
        <w:t xml:space="preserve">Validé par le Groupe Spécialisé le 18/09/2025</w:t>
      </w:r>
    </w:p>
    <w:p>
      <w:pPr/>
      <w:r>
        <w:rPr>
          <w:b/>
          <w:bCs/>
        </w:rPr>
        <w:t xml:space="preserve">Description</w:t>
      </w:r>
    </w:p>
    <w:p>
      <w:pPr/>
      <w:r>
        <w:rPr/>
        <w:t xml:space="preserve">En complément de la jurisprudence de décembre 2023 concernant la réalisation d’essais avec dalles sur plots, si revendiqué, le GS6 acte le protocole suivant : planche en contre-plaqué mise en place à 5 mm de la fenêtre avec un espace libre entre la planche et le mur du banc d’essais de 20 mm environ, des perçages de diamètre 24 mm seront réalisés tous les 500 mm.</w:t>
      </w:r>
    </w:p>
    <w:p>
      <w:pPr>
        <w:ind w:left="720" w:right="0"/>
      </w:pPr>
      <w:r>
        <w:rPr>
          <w:rStyle w:val="font_h2"/>
        </w:rPr>
        <w:t xml:space="preserve">9.78. 2025 (06) Ajout paragraphe concernant l’évaluation du risque de chute</w:t>
      </w:r>
    </w:p>
    <w:p>
      <w:pPr/>
      <w:r>
        <w:rPr/>
        <w:t xml:space="preserve">Validé par le Groupe Spécialisé le 18/09/2025</w:t>
      </w:r>
    </w:p>
    <w:p>
      <w:pPr/>
      <w:r>
        <w:rPr>
          <w:b/>
          <w:bCs/>
        </w:rPr>
        <w:t xml:space="preserve">Description</w:t>
      </w:r>
    </w:p>
    <w:p>
      <w:pPr/>
      <w:r>
        <w:rPr/>
        <w:t xml:space="preserve">Rappel de la jurisprudence de juin 2015 :Lorsque les feuillures d’ouvrant ou dormant ne répondent pas aux exigences du DTU 39 P5 § 4.2.3, la remarque suivante, sera ajoutée au § 2.1 Domaine d’emploi accepté de la partie Avis du DTA :« Le système tel que décrit dans le Dossier Technique ne répond pas aux exigences du DTU 39 P5 § 4.2.3, vis-à-vis de la sécurité aux chutes des personnes. » </w:t>
      </w:r>
    </w:p>
    <w:p>
      <w:pPr/>
      <w:r>
        <w:rPr/>
        <w:t xml:space="preserve">Cette jurisprudence est complétée de la manière suivante :Si deux essais de choc selon la NF P 08-302 (largeur mini et largeur maxi) sont réalisés dans le cadre de l’instruction, la remarque devient : « la sécurité aux chutes des personnes n’est pas évaluée dans le présent document. Il conviendra de l’’évaluer au cas par cas et de s’assurer du respect du calage du vitrage conformément au NF DTU 39 ou NF P 20-650-1 ».</w:t>
      </w:r>
    </w:p>
    <w:p>
      <w:pPr>
        <w:ind w:left="720" w:right="0"/>
      </w:pPr>
      <w:r>
        <w:rPr>
          <w:rStyle w:val="font_h2"/>
        </w:rPr>
        <w:t xml:space="preserve">9.79. 2025 (09) Classement minimum obtenu à l’essai de perméabilité à l’air sous gradient de température</w:t>
      </w:r>
    </w:p>
    <w:p>
      <w:pPr/>
      <w:r>
        <w:rPr/>
        <w:t xml:space="preserve">Validé par le Groupe Spécialisé le 16/10/2025</w:t>
      </w:r>
    </w:p>
    <w:p>
      <w:pPr/>
      <w:r>
        <w:rPr>
          <w:b/>
          <w:bCs/>
        </w:rPr>
        <w:t xml:space="preserve">Description</w:t>
      </w:r>
    </w:p>
    <w:p>
      <w:pPr/>
      <w:r>
        <w:rPr/>
        <w:t xml:space="preserve">Lors de l’essai de perméabilité sous gradient de température, les résultats suivants peuvent être obtenus : </w:t>
      </w:r>
    </w:p>
    <w:p>
      <w:pPr>
        <w:pPr/>
        <w:numPr>
          <w:ilvl w:val="0"/>
          <w:numId w:val="37"/>
        </w:numPr>
      </w:pPr>
      <w:r>
        <w:rPr/>
        <w:t xml:space="preserve">Classement A*3 : la justification est jugée recevable. </w:t>
      </w:r>
    </w:p>
    <w:p>
      <w:pPr>
        <w:pPr/>
        <w:numPr>
          <w:ilvl w:val="0"/>
          <w:numId w:val="37"/>
        </w:numPr>
      </w:pPr>
      <w:r>
        <w:rPr/>
        <w:t xml:space="preserve">Classement A*3 jusqu’à 450 Pa : la justification est présentable devant le GS6 qui jugera à dire d’experts. </w:t>
      </w:r>
    </w:p>
    <w:p>
      <w:pPr>
        <w:pPr/>
        <w:numPr>
          <w:ilvl w:val="0"/>
          <w:numId w:val="37"/>
        </w:numPr>
      </w:pPr>
      <w:r>
        <w:rPr/>
        <w:t xml:space="preserve">Classement inférieur à A*3 à 450 Pa : la justification n’est pas recevable.</w:t>
      </w:r>
    </w:p>
    <w:p>
      <w:pPr>
        <w:ind w:left="720" w:right="0"/>
      </w:pPr>
      <w:r>
        <w:rPr>
          <w:rStyle w:val="font_h2"/>
        </w:rPr>
        <w:t xml:space="preserve">9.80. 2025 (10) Protocole de maintenance des fenêtres respirantes</w:t>
      </w:r>
    </w:p>
    <w:p>
      <w:pPr/>
      <w:r>
        <w:rPr/>
        <w:t xml:space="preserve">Validé par le Groupe Spécialisé le 13/11/2025</w:t>
      </w:r>
    </w:p>
    <w:p>
      <w:pPr/>
      <w:r>
        <w:rPr>
          <w:b/>
          <w:bCs/>
        </w:rPr>
        <w:t xml:space="preserve">Description</w:t>
      </w:r>
    </w:p>
    <w:p>
      <w:pPr/>
      <w:r>
        <w:rPr/>
        <w:t xml:space="preserve">Les DTA de fenêtres respirantes devront dorénavant présenter le principe de maintenance de la partie respirante, en indiquant les contrôles, la régularité, la facilité d’accès, … </w:t>
      </w:r>
    </w:p>
    <w:p>
      <w:pPr/>
      <w:r>
        <w:rPr/>
        <w:t xml:space="preserve">Il sera ajouté au paragraphe « 2.5 Maintien en service du produit ou procédé », la maintenance prévue pour les fenêtres respirantes, dont notamment, le protocole précis de nettoyage et de changement de filtre.</w:t>
      </w:r>
    </w:p>
    <w:p>
      <w:pPr>
        <w:ind w:left="720" w:right="0"/>
      </w:pPr>
      <w:r>
        <w:rPr>
          <w:rStyle w:val="font_h2"/>
        </w:rPr>
        <w:t xml:space="preserve">9.81. 2025 (10) Couleur des stores dans les fenêtres respirantes</w:t>
      </w:r>
    </w:p>
    <w:p>
      <w:pPr/>
      <w:r>
        <w:rPr/>
        <w:t xml:space="preserve">Validé par le Groupe Spécialisé le 13/11/2025</w:t>
      </w:r>
    </w:p>
    <w:p>
      <w:pPr/>
      <w:r>
        <w:rPr>
          <w:b/>
          <w:bCs/>
        </w:rPr>
        <w:t xml:space="preserve">Description</w:t>
      </w:r>
    </w:p>
    <w:p>
      <w:pPr/>
      <w:r>
        <w:rPr/>
        <w:t xml:space="preserve">Dans les remarques complémentaires du GS, dans le cas des fenêtres respirantes, il conviendra d’ajouter la phrase suivante : « En présence d’un store de couleur foncée, une vigilance est à apporter vis à vis des températures atteintes dans la lame d’air respirante (voir paragraphe « 2.3 Dispositions de conception ») ».</w:t>
      </w:r>
    </w:p>
    <w:p>
      <w:pPr>
        <w:ind w:left="720" w:right="0"/>
      </w:pPr>
      <w:r>
        <w:rPr>
          <w:rStyle w:val="font_h2"/>
        </w:rPr>
        <w:t xml:space="preserve">9.82. 2025 (10) Intégration des vitrages simples dans les DTA</w:t>
      </w:r>
    </w:p>
    <w:p>
      <w:pPr/>
      <w:r>
        <w:rPr/>
        <w:t xml:space="preserve">Validé par le Groupe Spécialisé le 13/11/2025</w:t>
      </w:r>
    </w:p>
    <w:p>
      <w:pPr/>
      <w:r>
        <w:rPr>
          <w:b/>
          <w:bCs/>
        </w:rPr>
        <w:t xml:space="preserve">Description</w:t>
      </w:r>
    </w:p>
    <w:p>
      <w:pPr/>
      <w:r>
        <w:rPr/>
        <w:t xml:space="preserve">Plusieurs types de vitrages peuvent être revendiqués dans les DTA : </w:t>
      </w:r>
    </w:p>
    <w:p>
      <w:pPr>
        <w:pPr/>
        <w:numPr>
          <w:ilvl w:val="0"/>
          <w:numId w:val="38"/>
        </w:numPr>
      </w:pPr>
      <w:r>
        <w:rPr/>
        <w:t xml:space="preserve">les vitrages isolants doubles et/ou triples ; </w:t>
      </w:r>
    </w:p>
    <w:p>
      <w:pPr>
        <w:pPr/>
        <w:numPr>
          <w:ilvl w:val="0"/>
          <w:numId w:val="38"/>
        </w:numPr>
      </w:pPr>
      <w:r>
        <w:rPr/>
        <w:t xml:space="preserve">les vitrages isolants simples justifiant de performances thermiques (exemple : vitrages sous vide) ; </w:t>
      </w:r>
    </w:p>
    <w:p>
      <w:pPr>
        <w:pPr/>
        <w:numPr>
          <w:ilvl w:val="0"/>
          <w:numId w:val="38"/>
        </w:numPr>
      </w:pPr>
      <w:r>
        <w:rPr/>
        <w:t xml:space="preserve">les vitrages simples (non-isolant). </w:t>
      </w:r>
    </w:p>
    <w:p>
      <w:pPr/>
      <w:r>
        <w:rPr/>
        <w:t xml:space="preserve">Dans le cas des vitrages simples (non-isolant), le GS exige que le système prévoie une solution de récupération des eaux de condensation. </w:t>
      </w:r>
    </w:p>
    <w:p>
      <w:pPr/>
      <w:r>
        <w:rPr/>
        <w:t xml:space="preserve">Cependant, le GS prévoit dorénavant un cas ne nécessitant pas de récupération des eaux de condensation. </w:t>
      </w:r>
    </w:p>
    <w:p>
      <w:pPr/>
      <w:r>
        <w:rPr/>
        <w:t xml:space="preserve">Il s’agit du cas où l’utilisation des vitrages simples est exclusivement réservée à des locaux non chauffés. Dans ce cas les éléments suivants seront précisés dans le DTA : </w:t>
      </w:r>
    </w:p>
    <w:p>
      <w:pPr>
        <w:pPr/>
        <w:numPr>
          <w:ilvl w:val="0"/>
          <w:numId w:val="39"/>
        </w:numPr>
      </w:pPr>
      <w:r>
        <w:rPr/>
        <w:t xml:space="preserve">paragraphes « domaine d’emploi », « remarques du GS » et « vitrage » : une phrase complémentaire sera ajoutée, précisant que l’utilisation de vitrage simple est exclusivement réservée à des locaux non chauffés ; </w:t>
      </w:r>
    </w:p>
    <w:p>
      <w:pPr>
        <w:pPr/>
        <w:numPr>
          <w:ilvl w:val="0"/>
          <w:numId w:val="39"/>
        </w:numPr>
      </w:pPr>
      <w:r>
        <w:rPr/>
        <w:t xml:space="preserve">planches de profilés : les profilés concernés (parcloses de grande profondeur par exemple) seront identifiés par un astérisque stipulant « * : profilés réservés aux fenêtres mises en œuvre dans des pièces non chauffées ».</w:t>
      </w:r>
    </w:p>
    <w:p>
      <w:pPr>
        <w:ind w:left="720" w:right="0"/>
      </w:pPr>
      <w:r>
        <w:rPr>
          <w:rStyle w:val="font_h2"/>
        </w:rPr>
        <w:t xml:space="preserve">9.83. 2025 (10) Evolution de la liste exhaustive concernant la procédure d'évolutions mineures</w:t>
      </w:r>
    </w:p>
    <w:p>
      <w:pPr/>
      <w:r>
        <w:rPr/>
        <w:t xml:space="preserve">Validé par le Groupe Spécialisé le 13/11/2025</w:t>
      </w:r>
    </w:p>
    <w:p>
      <w:pPr/>
      <w:r>
        <w:rPr>
          <w:b/>
          <w:bCs/>
        </w:rPr>
        <w:t xml:space="preserve">Description</w:t>
      </w:r>
    </w:p>
    <w:p>
      <w:pPr/>
      <w:r>
        <w:rPr/>
        <w:t xml:space="preserve">Les propositions de modifications ont été examinées par le GS. La liste exhaustive sera mise à jour en conséquence et envoyée aux membres du GS.</w:t>
      </w:r>
    </w:p>
    <w:p>
      <w:pPr/>
      <w:r>
        <w:rPr/>
        <w:t xml:space="preserve">La liste des évolutions mineures « Simplification des DTA-AT du GS6_V3_2025 » est disponible au lien ci-dessous.</w:t>
      </w:r>
    </w:p>
    <w:p>
      <w:pPr>
        <w:ind w:left="720" w:right="0"/>
      </w:pPr>
      <w:r>
        <w:rPr>
          <w:rStyle w:val="font_h2"/>
        </w:rPr>
        <w:t xml:space="preserve">9.84. 2025 (12) Reformulation du paragraphe « Cas des dispositions PMR »</w:t>
      </w:r>
    </w:p>
    <w:p>
      <w:pPr/>
      <w:r>
        <w:rPr/>
        <w:t xml:space="preserve">Validé par le Groupe Spécialisé le 05/02/2026</w:t>
      </w:r>
    </w:p>
    <w:p>
      <w:pPr/>
      <w:r>
        <w:rPr>
          <w:b/>
          <w:bCs/>
        </w:rPr>
        <w:t xml:space="preserve">Description</w:t>
      </w:r>
    </w:p>
    <w:p>
      <w:pPr/>
      <w:r>
        <w:rPr/>
        <w:t xml:space="preserve">Dans le cas où une justification a été apportée vis à vis des systèmes sur plots, la phrase type du DTA est reformulée comme suit : « Des caillebotis mais aussi des systèmes sur plots (exemple : dalles) peuvent être utilisés dans le cadre de la mise en œuvre PMR selon le cahier du CSTB 3706_V2 (positionnés à une distance de 5 mm à 18 mm du nez de seuil) ».</w:t>
      </w:r>
    </w:p>
    <w:p>
      <w:pPr>
        <w:ind w:left="720" w:right="0"/>
      </w:pPr>
      <w:r>
        <w:rPr>
          <w:rStyle w:val="font_h2"/>
        </w:rPr>
        <w:t xml:space="preserve">9.85. 2025 (12) Réaction au feu pour les avis techniques de coffres</w:t>
      </w:r>
    </w:p>
    <w:p>
      <w:pPr/>
      <w:r>
        <w:rPr/>
        <w:t xml:space="preserve">Validé par le Groupe Spécialisé le 05/02/2026</w:t>
      </w:r>
    </w:p>
    <w:p>
      <w:pPr/>
      <w:r>
        <w:rPr>
          <w:b/>
          <w:bCs/>
        </w:rPr>
        <w:t xml:space="preserve">Description</w:t>
      </w:r>
    </w:p>
    <w:p>
      <w:pPr/>
      <w:r>
        <w:rPr/>
        <w:t xml:space="preserve">Le GS6 acte la suppression de la phrase suivante au paragraphe « réaction au feu » : « Le classement de réaction au feu des isolants n’a pas été fourni ».</w:t>
      </w:r>
    </w:p>
    <w:p>
      <w:pPr>
        <w:ind w:left="720" w:right="0"/>
      </w:pPr>
      <w:r>
        <w:rPr>
          <w:rStyle w:val="font_h2"/>
        </w:rPr>
        <w:t xml:space="preserve">9.86. 2025 (12) Eléments de preuves recevables concernant les DTA dont le domaine d'emploi couvre l'outremer (soumis à la réglementation paracyclonique)</w:t>
      </w:r>
    </w:p>
    <w:p>
      <w:pPr/>
      <w:r>
        <w:rPr/>
        <w:t xml:space="preserve">Validé par le Groupe Spécialisé le 05/02/2026</w:t>
      </w:r>
    </w:p>
    <w:p>
      <w:pPr/>
      <w:r>
        <w:rPr>
          <w:b/>
          <w:bCs/>
        </w:rPr>
        <w:t xml:space="preserve">Description</w:t>
      </w:r>
    </w:p>
    <w:p>
      <w:pPr/>
      <w:r>
        <w:rPr/>
        <w:t xml:space="preserve">Le CSTB a présenté le protocole d’essais rédigé retenu concernant la résistance aux chocs des fenêtres suite aux échanges de la dernière séance. Ce protocole est en pièce jointe du présent compte rendu et sera disponible sur le site de la CCFAT. Il est applicable à compter du 1er janvier pour tous les dossiers présentés en GS6 se revendiquant du domaine d’emploi visé.</w:t>
      </w:r>
    </w:p>
    <w:p>
      <w:pPr/>
      <w:r>
        <w:rPr/>
        <w:t xml:space="preserve">Le document « Protocole d’essai de résistance au choc des fenêtres » est disponible au lien ci-dessous.</w:t>
      </w:r>
    </w:p>
    <w:p>
      <w:pPr>
        <w:ind w:left="720" w:right="0"/>
      </w:pPr>
      <w:r>
        <w:rPr>
          <w:rStyle w:val="font_h2"/>
        </w:rPr>
        <w:t xml:space="preserve">9.87. 2026 (02) Accessibilité aux handicapés</w:t>
      </w:r>
    </w:p>
    <w:p>
      <w:pPr/>
      <w:r>
        <w:rPr/>
        <w:t xml:space="preserve">Validé par le Groupe Spécialisé le 19/03/2026</w:t>
      </w:r>
    </w:p>
    <w:p>
      <w:pPr/>
      <w:r>
        <w:rPr>
          <w:b/>
          <w:bCs/>
        </w:rPr>
        <w:t xml:space="preserve">Description</w:t>
      </w:r>
    </w:p>
    <w:p>
      <w:pPr/>
      <w:r>
        <w:rPr/>
        <w:t xml:space="preserve">Dans les cas où le seuil PMR n’incorpore pas de réservation spécifique pour le calfeutrement, le paragraphe 1.2.1.11 « Accessibilité aux handicapés » du DTA devient : « Ce système dispose d’une solution de seuil, qui sans avoir recours à une rampe amovible intérieure, pour peu qu’il soit encastré, permet l’accès aux handicapés au sens de l’arrêté du 30 novembre 2007. »</w:t>
      </w:r>
    </w:p>
    <w:p>
      <w:pPr>
        <w:ind w:left="720" w:right="0"/>
      </w:pPr>
      <w:r>
        <w:rPr>
          <w:rStyle w:val="font_h2"/>
        </w:rPr>
        <w:t xml:space="preserve">9.88. 2026 (03) Cas du suivi des planches de coffres</w:t>
      </w:r>
    </w:p>
    <w:p>
      <w:pPr>
        <w:ind w:left="720" w:right="0"/>
      </w:pPr>
      <w:r>
        <w:rPr>
          <w:rStyle w:val="font_h2"/>
        </w:rPr>
        <w:t xml:space="preserve">9.89. 2026 (03) Limitation du domaine d’emploi des systèmes prévoyant une mise en œuvre dans des panneaux sandwich</w:t>
      </w:r>
    </w:p>
    <w:p>
      <w:pPr/>
      <w:r>
        <w:rPr/>
        <w:t xml:space="preserve">Validé par le Groupe Spécialisé le 21/05/2026</w:t>
      </w:r>
    </w:p>
    <w:p>
      <w:pPr/>
      <w:r>
        <w:rPr>
          <w:b/>
          <w:bCs/>
        </w:rPr>
        <w:t xml:space="preserve">Description</w:t>
      </w:r>
    </w:p>
    <w:p>
      <w:pPr/>
      <w:r>
        <w:rPr/>
        <w:t xml:space="preserve">Rappel : le GS6 n’autorisait pas dans un même DTA des systèmes qui prévoyaient au domaine d’emploi une mise en œuvre sur panneaux sandwich et une mise en œuvre sur structure rigide.</w:t>
      </w:r>
    </w:p>
    <w:p>
      <w:pPr/>
      <w:r>
        <w:rPr/>
        <w:t xml:space="preserve">Le GS6 modifie sa position comme suit : le GS6 autorise dans un même DTA des systèmes qui prévoient une mise en œuvre par clippage et une mise en œuvre classique (vissage). Cela permet aux systèmes prévoyant une mise en œuvre par clippage de pouvoir revendiquer dans un même DTA le domaine d’emploi de mise en œuvre sur panneaux sandwich et sur structure rigide (sous réserve d’apporter toutes les justifications nécessaires).</w:t>
      </w:r>
    </w:p>
    <w:sectPr>
      <w:headerReference w:type="default" r:id="rId9"/>
      <w:footerReference w:type="default" r:id="rId10"/>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62A3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3A9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A7E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08E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2EB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170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897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E83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DD3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A0CB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FE0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9DA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1CA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E53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7B9F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7A4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9A07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1DD0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F80C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2623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E8E8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746F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EA25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9636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5383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336B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D9C6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41E3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BE60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7092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CB9B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cfat.fr/produits-procedes/famille/443/"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2026-09-20T17:50:54+02:00</dcterms:created>
  <dcterms:modified xsi:type="dcterms:W3CDTF">2026-09-20T17:50:54+02:00</dcterms:modified>
</cp:coreProperties>
</file>

<file path=docProps/custom.xml><?xml version="1.0" encoding="utf-8"?>
<Properties xmlns="http://schemas.openxmlformats.org/officeDocument/2006/custom-properties" xmlns:vt="http://schemas.openxmlformats.org/officeDocument/2006/docPropsVTypes"/>
</file>