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10/09/2026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mixte à la française, oscillo battante ou à soufflet</w:t>
      </w:r>
    </w:p>
    <w:p>
      <w:pPr/>
      <w:r>
        <w:rPr>
          <w:rStyle w:val="font_h1"/>
        </w:rPr>
        <w:t xml:space="preserve">1. Principe</w:t>
      </w:r>
    </w:p>
    <w:p>
      <w:pPr/>
      <w:r>
        <w:rPr>
          <w:rStyle w:val="font_h1"/>
        </w:rPr>
        <w:t xml:space="preserve">2. Matériaux</w:t>
      </w:r>
    </w:p>
    <w:p>
      <w:pPr>
        <w:ind w:left="720" w:right="0"/>
      </w:pPr>
      <w:r>
        <w:rPr>
          <w:rStyle w:val="font_h2"/>
        </w:rPr>
        <w:t xml:space="preserve">2.1. Profilés mixtes</w:t>
      </w:r>
    </w:p>
    <w:p>
      <w:pPr>
        <w:ind w:left="720" w:right="0"/>
      </w:pPr>
      <w:r>
        <w:rPr>
          <w:rStyle w:val="font_h2"/>
        </w:rPr>
        <w:t xml:space="preserve">2.2. Profilés PVC</w:t>
      </w:r>
    </w:p>
    <w:p>
      <w:pPr>
        <w:ind w:left="720" w:right="0"/>
      </w:pPr>
      <w:r>
        <w:rPr>
          <w:rStyle w:val="font_h2"/>
        </w:rPr>
        <w:t xml:space="preserve">2.3. Profilés aluminium</w:t>
      </w:r>
    </w:p>
    <w:p>
      <w:pPr>
        <w:ind w:left="1440" w:right="0"/>
      </w:pPr>
      <w:r>
        <w:rPr>
          <w:rStyle w:val="font_h3"/>
        </w:rPr>
        <w:t xml:space="preserve">2.3.1. Profilés aluminium à rupture de pont thermique</w:t>
      </w:r>
    </w:p>
    <w:p>
      <w:pPr>
        <w:ind w:left="1440" w:right="0"/>
      </w:pPr>
      <w:r>
        <w:rPr>
          <w:rStyle w:val="font_h3"/>
        </w:rPr>
        <w:t xml:space="preserve">2.3.2. Profilés aluminium</w:t>
      </w:r>
    </w:p>
    <w:p>
      <w:pPr>
        <w:ind w:left="720" w:right="0"/>
      </w:pPr>
      <w:r>
        <w:rPr>
          <w:rStyle w:val="font_h2"/>
        </w:rPr>
        <w:t xml:space="preserve">2.4. Profilés bois</w:t>
      </w:r>
    </w:p>
    <w:p>
      <w:pPr>
        <w:ind w:left="720" w:right="0"/>
      </w:pPr>
      <w:r>
        <w:rPr>
          <w:rStyle w:val="font_h2"/>
        </w:rPr>
        <w:t xml:space="preserve">2.5. Profilés renforts</w:t>
      </w:r>
    </w:p>
    <w:p>
      <w:pPr>
        <w:ind w:left="720" w:right="0"/>
      </w:pPr>
      <w:r>
        <w:rPr>
          <w:rStyle w:val="font_h2"/>
        </w:rPr>
        <w:t xml:space="preserve">2.6. Profilés complémentaires d'étanchéité</w:t>
      </w:r>
    </w:p>
    <w:p>
      <w:pPr>
        <w:ind w:left="720" w:right="0"/>
      </w:pPr>
      <w:r>
        <w:rPr>
          <w:rStyle w:val="font_h2"/>
        </w:rPr>
        <w:t xml:space="preserve">2.7. Accessoires</w:t>
      </w:r>
    </w:p>
    <w:p>
      <w:pPr>
        <w:ind w:left="720" w:right="0"/>
      </w:pPr>
      <w:r>
        <w:rPr>
          <w:rStyle w:val="font_h2"/>
        </w:rPr>
        <w:t xml:space="preserve">2.8. Quincaillerie</w:t>
      </w:r>
    </w:p>
    <w:p>
      <w:pPr>
        <w:ind w:left="720" w:right="0"/>
      </w:pPr>
      <w:r>
        <w:rPr>
          <w:rStyle w:val="font_h2"/>
        </w:rPr>
        <w:t xml:space="preserve">2.9. Vitrages</w:t>
      </w:r>
    </w:p>
    <w:p>
      <w:pPr/>
      <w:r>
        <w:rPr>
          <w:rStyle w:val="font_h1"/>
        </w:rPr>
        <w:t xml:space="preserve">3. Eléments</w:t>
      </w:r>
    </w:p>
    <w:p>
      <w:pPr>
        <w:ind w:left="720" w:right="0"/>
      </w:pPr>
      <w:r>
        <w:rPr>
          <w:rStyle w:val="font_h2"/>
        </w:rPr>
        <w:t xml:space="preserve">3.1. Cadre dormant</w:t>
      </w:r>
    </w:p>
    <w:p>
      <w:pPr>
        <w:ind w:left="1440" w:right="0"/>
      </w:pPr>
      <w:r>
        <w:rPr>
          <w:rStyle w:val="font_h3"/>
        </w:rPr>
        <w:t xml:space="preserve">3.1.1. Assemblage meneau et traverse intermédiaire</w:t>
      </w:r>
    </w:p>
    <w:p>
      <w:pPr>
        <w:ind w:left="1440" w:right="0"/>
      </w:pPr>
      <w:r>
        <w:rPr>
          <w:rStyle w:val="font_h3"/>
        </w:rPr>
        <w:t xml:space="preserve">3.1.2. Drainage</w:t>
      </w:r>
    </w:p>
    <w:p>
      <w:pPr>
        <w:ind w:left="1440" w:right="0"/>
      </w:pPr>
      <w:r>
        <w:rPr>
          <w:rStyle w:val="font_h3"/>
        </w:rPr>
        <w:t xml:space="preserve">3.1.3. Equilibrage de pression</w:t>
      </w:r>
    </w:p>
    <w:p>
      <w:pPr>
        <w:ind w:left="1440" w:right="0"/>
      </w:pPr>
      <w:r>
        <w:rPr>
          <w:rStyle w:val="font_h3"/>
        </w:rPr>
        <w:t xml:space="preserve">3.1.4. Fourrures d'épaisseurs</w:t>
      </w:r>
    </w:p>
    <w:p>
      <w:pPr>
        <w:ind w:left="1440" w:right="0"/>
      </w:pPr>
      <w:r>
        <w:rPr>
          <w:rStyle w:val="font_h3"/>
        </w:rPr>
        <w:t xml:space="preserve">3.1.5. Seuil</w:t>
      </w:r>
    </w:p>
    <w:p>
      <w:pPr>
        <w:ind w:left="1440" w:right="0"/>
      </w:pPr>
      <w:r>
        <w:rPr>
          <w:rStyle w:val="font_h3"/>
        </w:rPr>
        <w:t xml:space="preserve">3.1.6. Fixe</w:t>
      </w:r>
    </w:p>
    <w:p>
      <w:pPr>
        <w:ind w:left="720" w:right="0"/>
      </w:pPr>
      <w:r>
        <w:rPr>
          <w:rStyle w:val="font_h2"/>
        </w:rPr>
        <w:t xml:space="preserve">3.2. Cadre ouvrant</w:t>
      </w:r>
    </w:p>
    <w:p>
      <w:pPr>
        <w:ind w:left="1440" w:right="0"/>
      </w:pPr>
      <w:r>
        <w:rPr>
          <w:rStyle w:val="font_h3"/>
        </w:rPr>
        <w:t xml:space="preserve">3.2.1. Assemblage des cadres ouvrants bois</w:t>
      </w:r>
    </w:p>
    <w:p>
      <w:pPr>
        <w:ind w:left="1440" w:right="0"/>
      </w:pPr>
      <w:r>
        <w:rPr>
          <w:rStyle w:val="font_h3"/>
        </w:rPr>
        <w:t xml:space="preserve">3.2.2. Assemblage des cadres ouvrants aluminium</w:t>
      </w:r>
    </w:p>
    <w:p>
      <w:pPr>
        <w:ind w:left="1440" w:right="0"/>
      </w:pPr>
      <w:r>
        <w:rPr>
          <w:rStyle w:val="font_h3"/>
        </w:rPr>
        <w:t xml:space="preserve">3.2.3. Assemblage des cadres ouvrants PVC</w:t>
      </w:r>
    </w:p>
    <w:p>
      <w:pPr>
        <w:ind w:left="1440" w:right="0"/>
      </w:pPr>
      <w:r>
        <w:rPr>
          <w:rStyle w:val="font_h3"/>
        </w:rPr>
        <w:t xml:space="preserve">3.2.4. Battements</w:t>
      </w:r>
    </w:p>
    <w:p>
      <w:pPr>
        <w:ind w:left="1440" w:right="0"/>
      </w:pPr>
      <w:r>
        <w:rPr>
          <w:rStyle w:val="font_h3"/>
        </w:rPr>
        <w:t xml:space="preserve">3.2.5. Rejet d'eau</w:t>
      </w:r>
    </w:p>
    <w:p>
      <w:pPr>
        <w:ind w:left="1440" w:right="0"/>
      </w:pPr>
      <w:r>
        <w:rPr>
          <w:rStyle w:val="font_h3"/>
        </w:rPr>
        <w:t xml:space="preserve">3.2.6. Traverse intermédiaire</w:t>
      </w:r>
    </w:p>
    <w:p>
      <w:pPr>
        <w:ind w:left="1440" w:right="0"/>
      </w:pPr>
      <w:r>
        <w:rPr>
          <w:rStyle w:val="font_h3"/>
        </w:rPr>
        <w:t xml:space="preserve">3.2.7. Renforts</w:t>
      </w:r>
    </w:p>
    <w:p>
      <w:pPr>
        <w:ind w:left="1440" w:right="0"/>
      </w:pPr>
      <w:r>
        <w:rPr>
          <w:rStyle w:val="font_h3"/>
        </w:rPr>
        <w:t xml:space="preserve">3.2.8. Drainage de la feuillure à verre</w:t>
      </w:r>
    </w:p>
    <w:p>
      <w:pPr>
        <w:ind w:left="1440" w:right="0"/>
      </w:pPr>
      <w:r>
        <w:rPr>
          <w:rStyle w:val="font_h3"/>
        </w:rPr>
        <w:t xml:space="preserve">3.2.9. Équilibrage de pression</w:t>
      </w:r>
    </w:p>
    <w:p>
      <w:pPr>
        <w:ind w:left="720" w:right="0"/>
      </w:pPr>
      <w:r>
        <w:rPr>
          <w:rStyle w:val="font_h2"/>
        </w:rPr>
        <w:t xml:space="preserve">3.3. Ferrage</w:t>
      </w:r>
    </w:p>
    <w:p>
      <w:pPr>
        <w:ind w:left="1440" w:right="0"/>
      </w:pPr>
      <w:r>
        <w:rPr>
          <w:rStyle w:val="font_h3"/>
        </w:rPr>
        <w:t xml:space="preserve">3.3.1. Ouverture à la française</w:t>
      </w:r>
    </w:p>
    <w:p>
      <w:pPr>
        <w:ind w:left="1440" w:right="0"/>
      </w:pPr>
      <w:r>
        <w:rPr>
          <w:rStyle w:val="font_h3"/>
        </w:rPr>
        <w:t xml:space="preserve">3.3.2. Ouverture à soufflet</w:t>
      </w:r>
    </w:p>
    <w:p>
      <w:pPr>
        <w:ind w:left="1440" w:right="0"/>
      </w:pPr>
      <w:r>
        <w:rPr>
          <w:rStyle w:val="font_h3"/>
        </w:rPr>
        <w:t xml:space="preserve">3.3.3. Ouverture oscillo-battant</w:t>
      </w:r>
    </w:p>
    <w:p>
      <w:pPr>
        <w:ind w:left="1440" w:right="0"/>
      </w:pPr>
      <w:r>
        <w:rPr>
          <w:rStyle w:val="font_h3"/>
        </w:rPr>
        <w:t xml:space="preserve">3.3.4. Calage ouvrant</w:t>
      </w:r>
    </w:p>
    <w:p>
      <w:pPr>
        <w:ind w:left="720" w:right="0"/>
      </w:pPr>
      <w:r>
        <w:rPr>
          <w:rStyle w:val="font_h2"/>
        </w:rPr>
        <w:t xml:space="preserve">3.6. Vitrage</w:t>
      </w:r>
    </w:p>
    <w:p>
      <w:pPr>
        <w:ind w:left="1440" w:right="0"/>
      </w:pPr>
      <w:r>
        <w:rPr>
          <w:rStyle w:val="font_h3"/>
        </w:rPr>
        <w:t xml:space="preserve">3.4.1. Généralités</w:t>
      </w:r>
    </w:p>
    <w:p>
      <w:pPr>
        <w:ind w:left="1440" w:right="0"/>
      </w:pPr>
      <w:r>
        <w:rPr>
          <w:rStyle w:val="font_h3"/>
        </w:rPr>
        <w:t xml:space="preserve">3.4.2. Collage vitrage ouvrant</w:t>
      </w:r>
    </w:p>
    <w:p>
      <w:pPr>
        <w:ind w:left="1440" w:right="0"/>
      </w:pPr>
      <w:r>
        <w:rPr>
          <w:rStyle w:val="font_h3"/>
        </w:rPr>
        <w:t xml:space="preserve">3.4.3. Remplacement du vitrage</w:t>
      </w:r>
    </w:p>
    <w:p>
      <w:pPr>
        <w:ind w:left="720" w:right="0"/>
      </w:pPr>
      <w:r>
        <w:rPr>
          <w:rStyle w:val="font_h2"/>
        </w:rPr>
        <w:t xml:space="preserve">3.7. Dimensions maximales</w:t>
      </w:r>
    </w:p>
    <w:p>
      <w:pPr/>
      <w:r>
        <w:rPr>
          <w:rStyle w:val="font_h1"/>
        </w:rPr>
        <w:t xml:space="preserve">4. Fabrication</w:t>
      </w:r>
    </w:p>
    <w:p>
      <w:pPr>
        <w:ind w:left="720" w:right="0"/>
      </w:pPr>
      <w:r>
        <w:rPr>
          <w:rStyle w:val="font_h2"/>
        </w:rPr>
        <w:t xml:space="preserve">4.1. Fabrication des profilés</w:t>
      </w:r>
    </w:p>
    <w:p>
      <w:pPr>
        <w:ind w:left="1440" w:right="0"/>
      </w:pPr>
      <w:r>
        <w:rPr>
          <w:rStyle w:val="font_h3"/>
        </w:rPr>
        <w:t xml:space="preserve">4.1.1. Profilés aluminium</w:t>
      </w:r>
    </w:p>
    <w:p>
      <w:pPr>
        <w:ind w:left="1440" w:right="0"/>
      </w:pPr>
      <w:r>
        <w:rPr>
          <w:rStyle w:val="font_h3"/>
        </w:rPr>
        <w:t xml:space="preserve">4.1.2. Profilés PVC</w:t>
      </w:r>
    </w:p>
    <w:p>
      <w:pPr>
        <w:ind w:left="1440" w:right="0"/>
      </w:pPr>
      <w:r>
        <w:rPr>
          <w:rStyle w:val="font_h3"/>
        </w:rPr>
        <w:t xml:space="preserve">4.1.3. Assemblage des profilés alu-PVC</w:t>
      </w:r>
    </w:p>
    <w:p>
      <w:pPr>
        <w:ind w:left="1440" w:right="0"/>
      </w:pPr>
      <w:r>
        <w:rPr>
          <w:rStyle w:val="font_h3"/>
        </w:rPr>
        <w:t xml:space="preserve">4.1.4. Usinage et assemblage des profilés bois</w:t>
      </w:r>
    </w:p>
    <w:p>
      <w:pPr>
        <w:ind w:left="1440" w:right="0"/>
      </w:pPr>
      <w:r>
        <w:rPr>
          <w:rStyle w:val="font_h3"/>
        </w:rPr>
        <w:t xml:space="preserve">4.1.5. Placage bois</w:t>
      </w:r>
    </w:p>
    <w:p>
      <w:pPr>
        <w:ind w:left="720" w:right="0"/>
      </w:pPr>
      <w:r>
        <w:rPr>
          <w:rStyle w:val="font_h2"/>
        </w:rPr>
        <w:t xml:space="preserve">4.2. Assemblage des fenêtres</w:t>
      </w:r>
    </w:p>
    <w:p>
      <w:pPr>
        <w:ind w:left="720" w:right="0"/>
      </w:pPr>
      <w:r>
        <w:rPr>
          <w:rStyle w:val="font_h2"/>
        </w:rPr>
        <w:t xml:space="preserve">4.3. Autocontrole</w:t>
      </w:r>
    </w:p>
    <w:p>
      <w:pPr>
        <w:ind w:left="1440" w:right="0"/>
      </w:pPr>
      <w:r>
        <w:rPr>
          <w:rStyle w:val="font_h3"/>
        </w:rPr>
        <w:t xml:space="preserve">4.3.1. Profilés aluminium</w:t>
      </w:r>
    </w:p>
    <w:p>
      <w:pPr>
        <w:ind w:left="1440" w:right="0"/>
      </w:pPr>
      <w:r>
        <w:rPr>
          <w:rStyle w:val="font_h3"/>
        </w:rPr>
        <w:t xml:space="preserve">4.3.2. Profilés PVC</w:t>
      </w:r>
    </w:p>
    <w:p>
      <w:pPr>
        <w:ind w:left="1440" w:right="0"/>
      </w:pPr>
      <w:r>
        <w:rPr>
          <w:rStyle w:val="font_h3"/>
        </w:rPr>
        <w:t xml:space="preserve">4.3.3. Assemblage profilés alu-PVC</w:t>
      </w:r>
    </w:p>
    <w:p>
      <w:pPr>
        <w:ind w:left="1440" w:right="0"/>
      </w:pPr>
      <w:r>
        <w:rPr>
          <w:rStyle w:val="font_h3"/>
        </w:rPr>
        <w:t xml:space="preserve">4.3.4. Cadre bois</w:t>
      </w:r>
    </w:p>
    <w:p>
      <w:pPr>
        <w:ind w:left="1440" w:right="0"/>
      </w:pPr>
      <w:r>
        <w:rPr>
          <w:rStyle w:val="font_h3"/>
        </w:rPr>
        <w:t xml:space="preserve">4.3.5. Placage bois</w:t>
      </w:r>
    </w:p>
    <w:p>
      <w:pPr>
        <w:ind w:left="1440" w:right="0"/>
      </w:pPr>
      <w:r>
        <w:rPr>
          <w:rStyle w:val="font_h3"/>
        </w:rPr>
        <w:t xml:space="preserve">4.3.6. Collage vitrage</w:t>
      </w:r>
    </w:p>
    <w:p>
      <w:pPr/>
      <w:r>
        <w:rPr>
          <w:rStyle w:val="font_h1"/>
        </w:rPr>
        <w:t xml:space="preserve">5. Mise en œuvre</w:t>
      </w:r>
    </w:p>
    <w:p>
      <w:pPr>
        <w:ind w:left="720" w:right="0"/>
      </w:pPr>
      <w:r>
        <w:rPr>
          <w:rStyle w:val="font_h2"/>
        </w:rPr>
        <w:t xml:space="preserve">5.1. Mise en œuvre</w:t>
      </w:r>
    </w:p>
    <w:p>
      <w:pPr>
        <w:ind w:left="720" w:right="0"/>
      </w:pPr>
      <w:r>
        <w:rPr>
          <w:rStyle w:val="font_h2"/>
        </w:rPr>
        <w:t xml:space="preserve">5.2. Système d'étanchéité</w:t>
      </w:r>
    </w:p>
    <w:p>
      <w:pPr>
        <w:ind w:left="720" w:right="0"/>
      </w:pPr>
      <w:r>
        <w:rPr>
          <w:rStyle w:val="font_h2"/>
        </w:rPr>
        <w:t xml:space="preserve">5.3. Nettoyage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Jurisprudences</w:t>
      </w:r>
    </w:p>
    <w:p>
      <w:pPr>
        <w:ind w:left="720" w:right="0"/>
      </w:pPr>
      <w:r>
        <w:rPr>
          <w:rStyle w:val="font_h2"/>
        </w:rPr>
        <w:t xml:space="preserve">6.1. 2017 (02) Position du GS sur les dossiers de suivi des fenêtres respirantes</w:t>
      </w:r>
    </w:p>
    <w:p>
      <w:pPr/>
      <w:r>
        <w:rPr/>
        <w:t xml:space="preserve">Validé par le Groupe Spécialisé le 02/01/2018</w:t>
      </w:r>
    </w:p>
    <w:p>
      <w:pPr/>
      <w:r>
        <w:rPr>
          <w:b/>
          <w:bCs/>
        </w:rPr>
        <w:t xml:space="preserve">Description</w:t>
      </w:r>
    </w:p>
    <w:p>
      <w:pPr/>
      <w:r>
        <w:rPr/>
        <w:t xml:space="preserve">Il sera précisé sur la première page des DTA, par un encart, ainsi que dans les remarques complémentaires du Groupe Spécialisé, que seules les unités de fabrication bénéficiant d’un suivi « pass respirant » pourront se prévaloir du DTA.De plus, en l’absence de mesure de la perméabilité à l’air de la paroi intérieure, la valeur par défaut de débit de 0,5 m3/ (h.m2) sous 150 Pa sera considérée comme l’exigence maximale de débit de fuite à l’air dans le cadre des essais de contrôle à réaliser en usine.</w:t>
      </w:r>
    </w:p>
    <w:p>
      <w:pPr>
        <w:ind w:left="720" w:right="0"/>
      </w:pPr>
      <w:r>
        <w:rPr>
          <w:rStyle w:val="font_h2"/>
        </w:rPr>
        <w:t xml:space="preserve">6.2.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6.3. 2017 (03) Position du GS sur les dossiers de suivi des fenêtres respirantes</w:t>
      </w:r>
    </w:p>
    <w:p>
      <w:pPr/>
      <w:r>
        <w:rPr/>
        <w:t xml:space="preserve">Validé par le Groupe Spécialisé le 02/01/2018</w:t>
      </w:r>
    </w:p>
    <w:p>
      <w:pPr/>
      <w:r>
        <w:rPr>
          <w:b/>
          <w:bCs/>
        </w:rPr>
        <w:t xml:space="preserve">Description</w:t>
      </w:r>
    </w:p>
    <w:p>
      <w:pPr/>
      <w:r>
        <w:rPr/>
        <w:t xml:space="preserve">La mise en application des dispositions de contrôles en production et de suivi des unités de fabrication des fenêtres respirantes sous DTA, selon les critères définis dans le cahier CSTB 3759, a été acté, elle est d’application effective depuis le 1er mars 2017.</w:t>
      </w:r>
    </w:p>
    <w:p>
      <w:pPr>
        <w:ind w:left="720" w:right="0"/>
      </w:pPr>
      <w:r>
        <w:rPr>
          <w:rStyle w:val="font_h2"/>
        </w:rPr>
        <w:t xml:space="preserve">6.4.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9"/>
        </w:numPr>
      </w:pPr>
      <w:r>
        <w:rPr/>
        <w:t xml:space="preserve">difficulté de connaitre vraiment l’état des pattes de fixation,</w:t>
      </w:r>
    </w:p>
    <w:p>
      <w:pPr>
        <w:pPr/>
        <w:numPr>
          <w:ilvl w:val="0"/>
          <w:numId w:val="9"/>
        </w:numPr>
      </w:pPr>
      <w:r>
        <w:rPr/>
        <w:t xml:space="preserve">solution thermiquement très difficile à réaliser correctement vis-à-vis de la liaison entre le nouveau et l’ancien dormant,</w:t>
      </w:r>
    </w:p>
    <w:p>
      <w:pPr>
        <w:pPr/>
        <w:numPr>
          <w:ilvl w:val="0"/>
          <w:numId w:val="9"/>
        </w:numPr>
      </w:pPr>
      <w:r>
        <w:rPr/>
        <w:t xml:space="preserve">connaissance très difficile des matières PVC des anciens dormants et de leur état de conservation,</w:t>
      </w:r>
    </w:p>
    <w:p>
      <w:pPr>
        <w:pPr/>
        <w:numPr>
          <w:ilvl w:val="0"/>
          <w:numId w:val="9"/>
        </w:numPr>
      </w:pPr>
      <w:r>
        <w:rPr/>
        <w:t xml:space="preserve">compatibilité de ces matières avec les mastics de calfeutrement à utiliser,</w:t>
      </w:r>
    </w:p>
    <w:p>
      <w:pPr>
        <w:pPr/>
        <w:numPr>
          <w:ilvl w:val="0"/>
          <w:numId w:val="9"/>
        </w:numPr>
      </w:pPr>
      <w:r>
        <w:rPr/>
        <w:t xml:space="preserve">difficulté pour conserver le clair de vitrage.</w:t>
      </w:r>
    </w:p>
    <w:p>
      <w:pPr>
        <w:ind w:left="720" w:right="0"/>
      </w:pPr>
      <w:r>
        <w:rPr>
          <w:rStyle w:val="font_h2"/>
        </w:rPr>
        <w:t xml:space="preserve">6.5. 2017 (10) Recouvrement minimum en cas de pose ITE</w:t>
      </w:r>
    </w:p>
    <w:p>
      <w:pPr/>
      <w:r>
        <w:rPr/>
        <w:t xml:space="preserve">Validé par le Groupe Spécialisé le 02/01/2018</w:t>
      </w:r>
    </w:p>
    <w:p>
      <w:pPr/>
      <w:r>
        <w:rPr>
          <w:b/>
          <w:bCs/>
        </w:rPr>
        <w:t xml:space="preserve">Description</w:t>
      </w:r>
    </w:p>
    <w:p>
      <w:pPr/>
      <w:r>
        <w:rPr/>
        <w:t xml:space="preserve">Recouvrement minimum en cas de pose ITE :</w:t>
      </w:r>
    </w:p>
    <w:p>
      <w:pPr/>
      <w:r>
        <w:rPr/>
        <w:t xml:space="preserve">Dans le cas d'une pose de fenêtres en applique extérieure avec une ITE, la largeur disponible sur le dormant vis-à-vis du gros oeuvre doit être au minimum de 28mm. Il conviendra de vérifier que les dormants et autres fourrures d'épaisseurs permettent de satisfaire cette exigence.</w:t>
      </w:r>
    </w:p>
    <w:p>
      <w:pPr>
        <w:ind w:left="720" w:right="0"/>
      </w:pPr>
      <w:r>
        <w:rPr>
          <w:rStyle w:val="font_h2"/>
        </w:rPr>
        <w:t xml:space="preserve">6.6. 2017 (12) Mise en œuvre ITE</w:t>
      </w:r>
    </w:p>
    <w:p>
      <w:pPr/>
      <w:r>
        <w:rPr/>
        <w:t xml:space="preserve">Validé par le Groupe Spécialisé le 02/01/2018</w:t>
      </w:r>
    </w:p>
    <w:p>
      <w:pPr/>
      <w:r>
        <w:rPr>
          <w:b/>
          <w:bCs/>
        </w:rPr>
        <w:t xml:space="preserve">Description</w:t>
      </w:r>
    </w:p>
    <w:p>
      <w:pPr/>
      <w:r>
        <w:rPr/>
        <w:t xml:space="preserve">Mise en œuvre ITE : 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6.7. 2017 (12) Risques sismiques</w:t>
      </w:r>
    </w:p>
    <w:p>
      <w:pPr/>
      <w:r>
        <w:rPr/>
        <w:t xml:space="preserve">Validé par le Groupe Spécialisé le 02/01/2018</w:t>
      </w:r>
    </w:p>
    <w:p>
      <w:pPr/>
      <w:r>
        <w:rPr>
          <w:b/>
          <w:bCs/>
        </w:rPr>
        <w:t xml:space="preserve">Description</w:t>
      </w:r>
    </w:p>
    <w:p>
      <w:pPr/>
      <w:r>
        <w:rPr/>
        <w:t xml:space="preserve">Risques sismiques : 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6.8. 2017 (12) Opportunité de suivi de la qualité en usine des seuils PMR</w:t>
      </w:r>
    </w:p>
    <w:p>
      <w:pPr/>
      <w:r>
        <w:rPr/>
        <w:t xml:space="preserve">Validé par le Groupe Spécialisé le 02/01/2018</w:t>
      </w:r>
    </w:p>
    <w:p>
      <w:pPr/>
      <w:r>
        <w:rPr>
          <w:b/>
          <w:bCs/>
        </w:rPr>
        <w:t xml:space="preserve">Description</w:t>
      </w:r>
    </w:p>
    <w:p>
      <w:pPr/>
      <w:r>
        <w:rPr/>
        <w:t xml:space="preserve">Opportunité de suivi de la qualité en usine des seuils PMR :Le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6.9. 2018 (03) RUP et TOM</w:t>
      </w:r>
    </w:p>
    <w:p>
      <w:pPr/>
      <w:r>
        <w:rPr/>
        <w:t xml:space="preserve">Validé par le Groupe Spécialisé le 02/01/2018</w:t>
      </w:r>
    </w:p>
    <w:p>
      <w:pPr/>
      <w:r>
        <w:rPr>
          <w:b/>
          <w:bCs/>
        </w:rPr>
        <w:t xml:space="preserve">Description</w:t>
      </w:r>
    </w:p>
    <w:p>
      <w:pPr/>
      <w:r>
        <w:rPr/>
        <w:t xml:space="preserve">RUP et TOM :Le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6.10. 2018 (03) Risques de propagation du feu par la façade dans le cas des fenêtres mises en œuvre en applique extérieure</w:t>
      </w:r>
    </w:p>
    <w:p>
      <w:pPr/>
      <w:r>
        <w:rPr/>
        <w:t xml:space="preserve">Validé par le Groupe Spécialisé le 02/01/2018</w:t>
      </w:r>
    </w:p>
    <w:p>
      <w:pPr/>
      <w:r>
        <w:rPr>
          <w:b/>
          <w:bCs/>
        </w:rPr>
        <w:t xml:space="preserve">Description</w:t>
      </w:r>
    </w:p>
    <w:p>
      <w:pPr/>
      <w:r>
        <w:rPr/>
        <w:t xml:space="preserve">Risques de propagation du feu par la façade dans le cas des fenêtres mises en œuvre en applique extérieure : 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6.11.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0"/>
        </w:numPr>
      </w:pPr>
      <w:r>
        <w:rPr/>
        <w:t xml:space="preserve">Un profilé complémentaire est nécessaire afin de réaliser une zone de calfeutrement d'au moins 10 mm</w:t>
      </w:r>
    </w:p>
    <w:p>
      <w:pPr>
        <w:ind w:left="720" w:right="0"/>
      </w:pPr>
      <w:r>
        <w:rPr>
          <w:rStyle w:val="font_h2"/>
        </w:rPr>
        <w:t xml:space="preserve">6.12. 2018 (04) Systèmes de fenêtre comportant des éléments de menuiserie sans rupture thermique et/ou avec risque de condensation</w:t>
      </w:r>
    </w:p>
    <w:p>
      <w:pPr/>
      <w:r>
        <w:rPr/>
        <w:t xml:space="preserve">Validé par le Groupe Spécialisé le 25/04/2018</w:t>
      </w:r>
    </w:p>
    <w:p>
      <w:pPr/>
      <w:r>
        <w:rPr>
          <w:b/>
          <w:bCs/>
        </w:rPr>
        <w:t xml:space="preserve">Description</w:t>
      </w:r>
    </w:p>
    <w:p>
      <w:pPr/>
      <w:r>
        <w:rPr/>
        <w:t xml:space="preserve">Systèmes de fenêtre comportant des éléments de menuiserie sans rupture thermique et/ou avec risque de condensation :</w:t>
      </w:r>
    </w:p>
    <w:p>
      <w:pPr/>
      <w:r>
        <w:rPr/>
        <w:t xml:space="preserve">Le GS6 a analysé différents cas et conclue que les dispositions suivantes ne seront plus acceptées sans des justifications hygro-thermiques spécifiques :</w:t>
      </w:r>
    </w:p>
    <w:p>
      <w:pPr>
        <w:pPr/>
        <w:numPr>
          <w:ilvl w:val="0"/>
          <w:numId w:val="11"/>
        </w:numPr>
      </w:pPr>
      <w:r>
        <w:rPr/>
        <w:t xml:space="preserve">Seuils aluminium sans rupteur thermique</w:t>
      </w:r>
    </w:p>
    <w:p>
      <w:pPr>
        <w:pPr/>
        <w:numPr>
          <w:ilvl w:val="0"/>
          <w:numId w:val="11"/>
        </w:numPr>
      </w:pPr>
      <w:r>
        <w:rPr/>
        <w:t xml:space="preserve">Chicanes de coulissant sans rupteur thermique</w:t>
      </w:r>
    </w:p>
    <w:p>
      <w:pPr>
        <w:pPr/>
        <w:numPr>
          <w:ilvl w:val="0"/>
          <w:numId w:val="11"/>
        </w:numPr>
      </w:pPr>
      <w:r>
        <w:rPr/>
        <w:t xml:space="preserve">Poignée de manœuvre traversante sans rupteur thermique</w:t>
      </w:r>
    </w:p>
    <w:p>
      <w:pPr>
        <w:pPr/>
        <w:numPr>
          <w:ilvl w:val="0"/>
          <w:numId w:val="11"/>
        </w:numPr>
      </w:pPr>
      <w:r>
        <w:rPr/>
        <w:t xml:space="preserve">Profilé d'ouvrant sans rupteur thermique en contact directe avec le battement extérieur métallique</w:t>
      </w:r>
    </w:p>
    <w:p>
      <w:pPr>
        <w:pPr/>
        <w:numPr>
          <w:ilvl w:val="0"/>
          <w:numId w:val="11"/>
        </w:numPr>
      </w:pPr>
      <w:r>
        <w:rPr/>
        <w:t xml:space="preserve">Profilé de coffre traversant sans rupteur thermique</w:t>
      </w:r>
    </w:p>
    <w:p>
      <w:pPr>
        <w:ind w:left="720" w:right="0"/>
      </w:pPr>
      <w:r>
        <w:rPr>
          <w:rStyle w:val="font_h2"/>
        </w:rPr>
        <w:t xml:space="preserve">6.13. 2018 (10) Calfeutrement sur barrette pour coupure thermique</w:t>
      </w:r>
    </w:p>
    <w:p>
      <w:pPr/>
      <w:r>
        <w:rPr/>
        <w:t xml:space="preserve">Validé par le Groupe Spécialisé le 13/12/2018</w:t>
      </w:r>
    </w:p>
    <w:p>
      <w:pPr/>
      <w:r>
        <w:rPr>
          <w:b/>
          <w:bCs/>
        </w:rPr>
        <w:t xml:space="preserve">Description</w:t>
      </w:r>
    </w:p>
    <w:p>
      <w:pPr/>
      <w:r>
        <w:rPr/>
        <w:t xml:space="preserve">La jurisprudence proposée lors du dernier GS6 est modifiée comme suit :"Lorsque le calfeutrement avec mastic est effectué sur des barrettes pour coupure thermique, celles-ci doivent être brutes (pas sur le laquage) sauf justification particulière".</w:t>
      </w:r>
    </w:p>
    <w:p>
      <w:pPr>
        <w:ind w:left="720" w:right="0"/>
      </w:pPr>
      <w:r>
        <w:rPr>
          <w:rStyle w:val="font_h2"/>
        </w:rPr>
        <w:t xml:space="preserve">6.14. 2018 (10) Garnitures d’étanchéité</w:t>
      </w:r>
    </w:p>
    <w:p>
      <w:pPr/>
      <w:r>
        <w:rPr/>
        <w:t xml:space="preserve">Validé par le Groupe Spécialisé le 13/12/2018</w:t>
      </w:r>
    </w:p>
    <w:p>
      <w:pPr/>
      <w:r>
        <w:rPr>
          <w:b/>
          <w:bCs/>
        </w:rPr>
        <w:t xml:space="preserve">Description</w:t>
      </w:r>
    </w:p>
    <w:p>
      <w:pPr/>
      <w:r>
        <w:rPr/>
        <w:t xml:space="preserve">Pour toutes les gammes, existantes ou nouvelles, les tolérances n’apparaîtront pas dans le DTA publié. Dans le cas où le recouvrement de l’ouvrant ou du dormant par la garniture du plan d'étanchéité principal est inférieur à 5 mm, il conviendra de fournir des justifications complémentaires (ex. : essai d’étanchéité à l’eau sans tout ou partie de la garniture du plan principal d’étanchéité).</w:t>
      </w:r>
    </w:p>
    <w:p>
      <w:pPr>
        <w:ind w:left="720" w:right="0"/>
      </w:pPr>
      <w:r>
        <w:rPr>
          <w:rStyle w:val="font_h2"/>
        </w:rPr>
        <w:t xml:space="preserve">6.15. 2018 (10) Système respirant</w:t>
      </w:r>
    </w:p>
    <w:p>
      <w:pPr/>
      <w:r>
        <w:rPr/>
        <w:t xml:space="preserve">Validé par le Groupe Spécialisé le 13/12/2018</w:t>
      </w:r>
    </w:p>
    <w:p>
      <w:pPr/>
      <w:r>
        <w:rPr>
          <w:b/>
          <w:bCs/>
        </w:rPr>
        <w:t xml:space="preserve">Description</w:t>
      </w:r>
    </w:p>
    <w:p>
      <w:pPr/>
      <w:r>
        <w:rPr/>
        <w:t xml:space="preserve">Dans le cas des systèmes respirants, les prescriptions techniques devront présenter un paragraphe limitant l’utilisation du système à une masse de vantail maximum.</w:t>
      </w:r>
    </w:p>
    <w:p>
      <w:pPr>
        <w:ind w:left="720" w:right="0"/>
      </w:pPr>
      <w:r>
        <w:rPr>
          <w:rStyle w:val="font_h2"/>
        </w:rPr>
        <w:t xml:space="preserve">6.16. 2018 (10) Conditions de mise en œuvre</w:t>
      </w:r>
    </w:p>
    <w:p>
      <w:pPr/>
      <w:r>
        <w:rPr/>
        <w:t xml:space="preserve">Validé par le Groupe Spécialisé le 13/12/2018</w:t>
      </w:r>
    </w:p>
    <w:p>
      <w:pPr/>
      <w:r>
        <w:rPr>
          <w:b/>
          <w:bCs/>
        </w:rPr>
        <w:t xml:space="preserve">Description</w:t>
      </w:r>
    </w:p>
    <w:p>
      <w:pPr/>
      <w:r>
        <w:rPr/>
        <w:t xml:space="preserve">Dans le paragraphe « conditions de mise en œuvre », le nouveau texte type devient :« Certaines configurations de fenêtres oscillo-battantes ou à soufflet (dimensions, poids de vitrages, positionnement poignée, …) peuvent conduire à un effort d’amorçage de fermeture de la position soufflet du vantail supérieure à 100N. » (Suppression de « sauf dispositions particulières »).</w:t>
      </w:r>
    </w:p>
    <w:p>
      <w:pPr>
        <w:ind w:left="720" w:right="0"/>
      </w:pPr>
      <w:r>
        <w:rPr>
          <w:rStyle w:val="font_h2"/>
        </w:rPr>
        <w:t xml:space="preserve">6.17.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6.18.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6.19.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6.20. 2019 (10) Largeur de passage des portes-fenêtres 1 vantail équipées d’un dispositif PMR</w:t>
      </w:r>
    </w:p>
    <w:p>
      <w:pPr/>
      <w:r>
        <w:rPr/>
        <w:t xml:space="preserve">Validé par le Groupe Spécialisé le 17/10/2019</w:t>
      </w:r>
    </w:p>
    <w:p>
      <w:pPr/>
      <w:r>
        <w:rPr>
          <w:b/>
          <w:bCs/>
        </w:rPr>
        <w:t xml:space="preserve">Description</w:t>
      </w:r>
    </w:p>
    <w:p>
      <w:pPr/>
      <w:r>
        <w:rPr/>
        <w:t xml:space="preserve">Afin d’être cohérent avec la réglementation concernant l’accès des handicapés aux balcons, terrasses et loggias, la largeur maximale (tableau) passe de 0,80m à 1,00m pour les systèmes de fenêtres PVC à 1 vantail.</w:t>
      </w:r>
    </w:p>
    <w:p>
      <w:pPr>
        <w:ind w:left="720" w:right="0"/>
      </w:pPr>
      <w:r>
        <w:rPr>
          <w:rStyle w:val="font_h2"/>
        </w:rPr>
        <w:t xml:space="preserve">6.21.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6.22.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6.23.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12"/>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12"/>
        </w:numPr>
      </w:pPr>
      <w:r>
        <w:rPr/>
        <w:t xml:space="preserve">Suppression des tableaux thermiques renvoyés vers le rapport de calculs thermiques attestés conformes au DTA, cité au paragraphe B Résultats expérimentaux.</w:t>
      </w:r>
    </w:p>
    <w:p>
      <w:pPr>
        <w:pPr/>
        <w:numPr>
          <w:ilvl w:val="0"/>
          <w:numId w:val="12"/>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12"/>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13"/>
        </w:numPr>
      </w:pPr>
      <w:r>
        <w:rPr/>
        <w:t xml:space="preserve">Profilés PVC : suppression du lieu d’extrusion dans le cas des profilés NF126 ;</w:t>
      </w:r>
    </w:p>
    <w:p>
      <w:pPr>
        <w:pPr/>
        <w:numPr>
          <w:ilvl w:val="0"/>
          <w:numId w:val="13"/>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6.24.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14"/>
        </w:numPr>
      </w:pPr>
      <w:r>
        <w:rPr/>
        <w:t xml:space="preserve">la pièce 3D soit géométriquement identique à la pièce finale,</w:t>
      </w:r>
    </w:p>
    <w:p>
      <w:pPr>
        <w:pPr/>
        <w:numPr>
          <w:ilvl w:val="0"/>
          <w:numId w:val="14"/>
        </w:numPr>
      </w:pPr>
      <w:r>
        <w:rPr/>
        <w:t xml:space="preserve">une date de mise à disposition de la pièce finale soit arrêtée,</w:t>
      </w:r>
    </w:p>
    <w:p>
      <w:pPr>
        <w:pPr/>
        <w:numPr>
          <w:ilvl w:val="0"/>
          <w:numId w:val="14"/>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6.25.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6.26. 2020 (09) Position sur les recouvrements minimums des garnitures centrales d'étanchéité</w:t>
      </w:r>
    </w:p>
    <w:p>
      <w:pPr/>
      <w:r>
        <w:rPr/>
        <w:t xml:space="preserve">Validé par le Groupe Spécialisé le 29/10/2020</w:t>
      </w:r>
    </w:p>
    <w:p>
      <w:pPr/>
      <w:r>
        <w:rPr>
          <w:b/>
          <w:bCs/>
        </w:rPr>
        <w:t xml:space="preserve">Description</w:t>
      </w:r>
    </w:p>
    <w:p>
      <w:pPr/>
      <w:r>
        <w:rPr/>
        <w:t xml:space="preserve">Le demandeur d’un système à garniture de joint central devra dorénavant justifier et garantir la présence d’une garniture de joint central ayant un recouvrement d’au moins 3 mm couplé à une garniture de joint de frappe intérieur avec un recouvrement effectif d’au moins 5 mm sur toute la périphérie.Cette jurisprudence sera appliquée pour les nouveaux dossiers à partir du 1er janvier 2022 et pour les révisions à partir du 1er janvier 2023.</w:t>
      </w:r>
    </w:p>
    <w:p>
      <w:pPr>
        <w:ind w:left="720" w:right="0"/>
      </w:pPr>
      <w:r>
        <w:rPr>
          <w:rStyle w:val="font_h2"/>
        </w:rPr>
        <w:t xml:space="preserve">6.27. 2020 (10) Fenêtres respirantes</w:t>
      </w:r>
    </w:p>
    <w:p>
      <w:pPr/>
      <w:r>
        <w:rPr/>
        <w:t xml:space="preserve">Validé par le Groupe Spécialisé le 10/12/2020</w:t>
      </w:r>
    </w:p>
    <w:p>
      <w:pPr/>
      <w:r>
        <w:rPr>
          <w:b/>
          <w:bCs/>
        </w:rPr>
        <w:t xml:space="preserve">Description</w:t>
      </w:r>
    </w:p>
    <w:p>
      <w:pPr/>
      <w:r>
        <w:rPr/>
        <w:t xml:space="preserve">Dans le paragraphe "références de chantier", le GS 06 demande que soit indiqué uniquement les références de chantier dont les fenêtres ont bénéficié d’un suivi lors de leur fabrication (" suivi fenêtre respirante »). Si cela n'est pas possible, il sera indiqué : "Le demandeur déclare n'avoir réalisé aucun chantier avec ce système depuis au moins 2 ans".</w:t>
      </w:r>
    </w:p>
    <w:p>
      <w:pPr>
        <w:ind w:left="720" w:right="0"/>
      </w:pPr>
      <w:r>
        <w:rPr>
          <w:rStyle w:val="font_h2"/>
        </w:rPr>
        <w:t xml:space="preserve">6.28.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15"/>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15"/>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6.29. 2020 (10) Charge maximum des vantaux</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6.30.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6.31.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6.32.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6.33. 2021 (02) Précision concernant le risque d’usure du joint central</w:t>
      </w:r>
    </w:p>
    <w:p>
      <w:pPr/>
      <w:r>
        <w:rPr/>
        <w:t xml:space="preserve">Validé par le Groupe Spécialisé le 11/03/2021</w:t>
      </w:r>
    </w:p>
    <w:p>
      <w:pPr/>
      <w:r>
        <w:rPr>
          <w:b/>
          <w:bCs/>
        </w:rPr>
        <w:t xml:space="preserve">Description</w:t>
      </w:r>
    </w:p>
    <w:p>
      <w:pPr/>
      <w:r>
        <w:rPr/>
        <w:t xml:space="preserve">Ajout de la précision « cas des portes-fenêtres » à la jurisprudence suivante : Le joint central étant porté par le dormant, il existe un risque d’usure prématurée dans le cas des portes-fenêtres, dû au passage, pouvant entrainer des baisses de performance à l’air et à l’eau.</w:t>
      </w:r>
    </w:p>
    <w:p>
      <w:pPr>
        <w:ind w:left="720" w:right="0"/>
      </w:pPr>
      <w:r>
        <w:rPr>
          <w:rStyle w:val="font_h2"/>
        </w:rPr>
        <w:t xml:space="preserve">6.34.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6.35.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6.36.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16"/>
        </w:numPr>
      </w:pPr>
      <w:r>
        <w:rPr/>
        <w:t xml:space="preserve">Vis inox A2 pour la fixation d’éléments démontables.</w:t>
      </w:r>
    </w:p>
    <w:p>
      <w:pPr>
        <w:pPr/>
        <w:numPr>
          <w:ilvl w:val="0"/>
          <w:numId w:val="16"/>
        </w:numPr>
      </w:pPr>
      <w:r>
        <w:rPr/>
        <w:t xml:space="preserve">Vis zinguées de classe 4 selon la norme EN 1670 pour les éléments non démontables.</w:t>
      </w:r>
    </w:p>
    <w:p>
      <w:pPr>
        <w:ind w:left="720" w:right="0"/>
      </w:pPr>
      <w:r>
        <w:rPr>
          <w:rStyle w:val="font_h2"/>
        </w:rPr>
        <w:t xml:space="preserve">6.37.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6.38.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6.39.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6.40.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17"/>
        </w:numPr>
      </w:pPr>
      <w:r>
        <w:rPr/>
        <w:t xml:space="preserve">label Qualimarine avec alliage qualité bâtiment selon définition du DTU 33.1 ;</w:t>
      </w:r>
    </w:p>
    <w:p>
      <w:pPr/>
      <w:r>
        <w:rPr/>
        <w:t xml:space="preserve">ou bien</w:t>
      </w:r>
    </w:p>
    <w:p>
      <w:pPr>
        <w:pPr/>
        <w:numPr>
          <w:ilvl w:val="0"/>
          <w:numId w:val="18"/>
        </w:numPr>
      </w:pPr>
      <w:r>
        <w:rPr/>
        <w:t xml:space="preserve">label Qualicoat Seaside AA1 ou AA2 minimum avec alliage qualité bâtiment selon définition du DTU 33.1.</w:t>
      </w:r>
    </w:p>
    <w:p>
      <w:pPr>
        <w:ind w:left="720" w:right="0"/>
      </w:pPr>
      <w:r>
        <w:rPr>
          <w:rStyle w:val="font_h2"/>
        </w:rPr>
        <w:t xml:space="preserve">6.41. 2021 (09) Conclusions du groupe de travail sur la dimension du recouvrement des systèmes à joints centraux</w:t>
      </w:r>
    </w:p>
    <w:p>
      <w:pPr/>
      <w:r>
        <w:rPr/>
        <w:t xml:space="preserve">Validé par le Groupe Spécialisé le 04/11/2021</w:t>
      </w:r>
    </w:p>
    <w:p>
      <w:pPr/>
      <w:r>
        <w:rPr>
          <w:b/>
          <w:bCs/>
        </w:rPr>
        <w:t xml:space="preserve">Description</w:t>
      </w:r>
    </w:p>
    <w:p>
      <w:pPr/>
      <w:r>
        <w:rPr/>
        <w:t xml:space="preserve">Sur les plans, les paramètres suivants sont mesurés en traverse basse :</w:t>
      </w:r>
    </w:p>
    <w:p>
      <w:pPr>
        <w:pPr/>
        <w:numPr>
          <w:ilvl w:val="0"/>
          <w:numId w:val="19"/>
        </w:numPr>
      </w:pPr>
      <w:r>
        <w:rPr/>
        <w:t xml:space="preserve">Rc = recouvrement nominal du joint central ;</w:t>
      </w:r>
    </w:p>
    <w:p>
      <w:pPr>
        <w:pPr/>
        <w:numPr>
          <w:ilvl w:val="0"/>
          <w:numId w:val="19"/>
        </w:numPr>
      </w:pPr>
      <w:r>
        <w:rPr/>
        <w:t xml:space="preserve">Ri = recouvrement nominal du joint de frappe intérieur (entre la partie inférieure de la contre-feuillure de l’ouvrant et la partie supérieure du dormant au niveau de la zone de frappe - voir illustration).</w:t>
      </w:r>
    </w:p>
    <w:p>
      <w:pPr/>
      <w:r>
        <w:rPr/>
        <w:t xml:space="preserve">Pour les systèmes de fenêtres à joints centraux répondant aux critères suivants, il ne sera pas nécessaire d'apporter de justifications supplémentaires par rapport à un système de fenêtre à joint de frappe intérieur :</w:t>
      </w:r>
    </w:p>
    <w:p>
      <w:pPr/>
      <w:r>
        <w:rPr/>
        <w:t xml:space="preserve">Cas 1 : Recouvrement nominal du joint central supérieur ou égale à 5 mm. (Rc ≥ 5 mm)</w:t>
      </w:r>
    </w:p>
    <w:p>
      <w:pPr/>
      <w:r>
        <w:rPr/>
        <w:t xml:space="preserve">Cas 2 : 4 ≤ Rc &lt; 5 mm</w:t>
      </w:r>
    </w:p>
    <w:p>
      <w:pPr>
        <w:pPr/>
        <w:numPr>
          <w:ilvl w:val="0"/>
          <w:numId w:val="20"/>
        </w:numPr>
      </w:pPr>
      <w:r>
        <w:rPr/>
        <w:t xml:space="preserve">Réglage possible du recouvrement ouvrant/dormant en hauteur et largeur ± 1 mm et Ri ≥ 5 mmOU</w:t>
      </w:r>
    </w:p>
    <w:p>
      <w:pPr>
        <w:pPr/>
        <w:numPr>
          <w:ilvl w:val="0"/>
          <w:numId w:val="20"/>
        </w:numPr>
      </w:pPr>
      <w:r>
        <w:rPr/>
        <w:t xml:space="preserve">Réglage possible du recouvrement ouvrant/dormant en largeur ± 1 mm et Ri ≥ 8 mm</w:t>
      </w:r>
    </w:p>
    <w:p>
      <w:pPr/>
      <w:r>
        <w:rPr/>
        <w:t xml:space="preserve">Cas 3 : 3 ≤ Rc &lt; 4 mm</w:t>
      </w:r>
    </w:p>
    <w:p>
      <w:pPr>
        <w:pPr/>
        <w:numPr>
          <w:ilvl w:val="0"/>
          <w:numId w:val="21"/>
        </w:numPr>
      </w:pPr>
      <w:r>
        <w:rPr/>
        <w:t xml:space="preserve">Réglage possible du recouvrement ouvrant/dormant en hauteur et largeur ± 2 mm et Ri ≥ 5 mmOU</w:t>
      </w:r>
    </w:p>
    <w:p>
      <w:pPr>
        <w:pPr/>
        <w:numPr>
          <w:ilvl w:val="0"/>
          <w:numId w:val="21"/>
        </w:numPr>
      </w:pPr>
      <w:r>
        <w:rPr/>
        <w:t xml:space="preserve">Réglage possible du recouvrement ouvrant/dormant en largeur ± 1 mm et Ri ≥ 8 mm</w:t>
      </w:r>
    </w:p>
    <w:p>
      <w:pPr/>
      <w:r>
        <w:rPr/>
        <w:t xml:space="preserve">Ces dispositions permettent d'assurer :</w:t>
      </w:r>
    </w:p>
    <w:p>
      <w:pPr>
        <w:pPr/>
        <w:numPr>
          <w:ilvl w:val="0"/>
          <w:numId w:val="22"/>
        </w:numPr>
      </w:pPr>
      <w:r>
        <w:rPr/>
        <w:t xml:space="preserve">Un recouvrement effectif de la garniture de joint central ≥ 3 mm en partie basse et au niveau du battement central.</w:t>
      </w:r>
    </w:p>
    <w:p>
      <w:pPr>
        <w:pPr/>
        <w:numPr>
          <w:ilvl w:val="0"/>
          <w:numId w:val="22"/>
        </w:numPr>
      </w:pPr>
      <w:r>
        <w:rPr/>
        <w:t xml:space="preserve">Un recouvrement effectif de la garniture de joint central ≥ 1 mm sur les autres côtés.</w:t>
      </w:r>
    </w:p>
    <w:p>
      <w:pPr>
        <w:pPr/>
        <w:numPr>
          <w:ilvl w:val="0"/>
          <w:numId w:val="22"/>
        </w:numPr>
      </w:pPr>
      <w:r>
        <w:rPr/>
        <w:t xml:space="preserve">Un recouvrement effectif du joint de frappe intérieur ≥ 3 mm.</w:t>
      </w:r>
    </w:p>
    <w:p>
      <w:pPr/>
      <w:r>
        <w:rPr/>
        <w:t xml:space="preserve">Lors des essais AEV sur ces systèmes, il conviendra de relever le recouvrement effectif du joint de frappe intérieur. Le DTA devra également faire figurer le recouvrement effectif minimum du joint de frappe intérieur permettant de respecter les critères sus-mentionnés.</w:t>
      </w:r>
    </w:p>
    <w:p>
      <w:pPr/>
      <w:r>
        <w:rPr>
          <w:b/>
          <w:bCs/>
        </w:rPr>
        <w:t xml:space="preserve">Illustration</w:t>
      </w:r>
    </w:p>
    <w:p>
      <w:pPr/>
      <w:r>
        <w:rPr/>
        <w:t xml:space="preserve">Illustration du Ri</w:t>
      </w:r>
    </w:p>
    <w:p>
      <w:pPr/>
      <w:r>
        <w:pict>
          <v:shape type="#_x0000_t75" style="width:128pt; height:83pt; margin-left:0pt; margin-top:0pt; mso-position-horizontal:left; mso-position-vertical:top; mso-position-horizontal-relative:char;">
            <w10:wrap type="inline"/>
            <v:imagedata r:id="rId7" o:title=""/>
          </v:shape>
        </w:pict>
      </w:r>
    </w:p>
    <w:p>
      <w:pPr>
        <w:ind w:left="720" w:right="0"/>
      </w:pPr>
      <w:r>
        <w:rPr>
          <w:rStyle w:val="font_h2"/>
        </w:rPr>
        <w:t xml:space="preserve">6.42.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6.43. 2021 (12) Systèmes de fenêtres respirantes</w:t>
      </w:r>
    </w:p>
    <w:p>
      <w:pPr/>
      <w:r>
        <w:rPr/>
        <w:t xml:space="preserve">Validé par le Groupe Spécialisé le 02/02/2022</w:t>
      </w:r>
    </w:p>
    <w:p>
      <w:pPr/>
      <w:r>
        <w:rPr>
          <w:b/>
          <w:bCs/>
        </w:rPr>
        <w:t xml:space="preserve">Description</w:t>
      </w:r>
    </w:p>
    <w:p>
      <w:pPr/>
      <w:r>
        <w:rPr/>
        <w:t xml:space="preserve">Dans le cas de système de fenêtre respirante, il conviendra d'indiquer dans les DTA, quelle est la classe d'accès au store (au sens du e-cahier 3677_V2) et quelles sont les limitations sur la température de la lame d'air qui en résultent (notamment dans le cas de fixe faux-ouvrant).</w:t>
      </w:r>
    </w:p>
    <w:p>
      <w:pPr>
        <w:ind w:left="720" w:right="0"/>
      </w:pPr>
      <w:r>
        <w:rPr>
          <w:rStyle w:val="font_h2"/>
        </w:rPr>
        <w:t xml:space="preserve">6.44. 2022 (02) Date et modalités d’application de la jurisprudence sur les systèmes de fenêtres à joints centraux</w:t>
      </w:r>
    </w:p>
    <w:p>
      <w:pPr/>
      <w:r>
        <w:rPr/>
        <w:t xml:space="preserve">Validé par le Groupe Spécialisé le 17/03/2022</w:t>
      </w:r>
    </w:p>
    <w:p>
      <w:pPr/>
      <w:r>
        <w:rPr>
          <w:b/>
          <w:bCs/>
        </w:rPr>
        <w:t xml:space="preserve">Description</w:t>
      </w:r>
    </w:p>
    <w:p>
      <w:pPr/>
      <w:r>
        <w:rPr/>
        <w:t xml:space="preserve">La jurisprudence, sur les systèmes de fenêtre à joints centraux, s’appliquera à partir de janvier 2023 pour toutes les nouvelles demandes et révisions de DTA.</w:t>
      </w:r>
    </w:p>
    <w:p>
      <w:pPr>
        <w:ind w:left="720" w:right="0"/>
      </w:pPr>
      <w:r>
        <w:rPr>
          <w:rStyle w:val="font_h2"/>
        </w:rPr>
        <w:t xml:space="preserve">6.45.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6.46.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23"/>
        </w:numPr>
      </w:pPr>
      <w:r>
        <w:rPr/>
        <w:t xml:space="preserve">Garantir une constance de qualité de fabrication et une constance de la composition chimique.</w:t>
      </w:r>
    </w:p>
    <w:p>
      <w:pPr>
        <w:pPr/>
        <w:numPr>
          <w:ilvl w:val="0"/>
          <w:numId w:val="23"/>
        </w:numPr>
      </w:pPr>
      <w:r>
        <w:rPr/>
        <w:t xml:space="preserve">En cas de changement, informer le CSTB de toute modification de la composition de son produit.</w:t>
      </w:r>
    </w:p>
    <w:p>
      <w:pPr>
        <w:pPr/>
        <w:numPr>
          <w:ilvl w:val="0"/>
          <w:numId w:val="23"/>
        </w:numPr>
      </w:pPr>
      <w:r>
        <w:rPr/>
        <w:t xml:space="preserve">Assurer le contrôle qualité en fabrication garantissant les performances de son produit.</w:t>
      </w:r>
    </w:p>
    <w:p>
      <w:pPr>
        <w:ind w:left="720" w:right="0"/>
      </w:pPr>
      <w:r>
        <w:rPr>
          <w:rStyle w:val="font_h2"/>
        </w:rPr>
        <w:t xml:space="preserve">6.47.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6.48.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24"/>
        </w:numPr>
      </w:pPr>
      <w:r>
        <w:rPr/>
        <w:t xml:space="preserve">Pour tous les nouveaux systèmes ;</w:t>
      </w:r>
    </w:p>
    <w:p>
      <w:pPr>
        <w:pPr/>
        <w:numPr>
          <w:ilvl w:val="0"/>
          <w:numId w:val="24"/>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6.49.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6.50.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6.51.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6.52.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6.53.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6.54.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6.55.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6.56.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6.57.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25"/>
        </w:numPr>
      </w:pPr>
      <w:r>
        <w:rPr/>
        <w:t xml:space="preserve">le préciser dans le paragraphe « domaine d’emploi », </w:t>
      </w:r>
    </w:p>
    <w:p>
      <w:pPr>
        <w:pPr/>
        <w:numPr>
          <w:ilvl w:val="0"/>
          <w:numId w:val="25"/>
        </w:numPr>
      </w:pPr>
      <w:r>
        <w:rPr/>
        <w:t xml:space="preserve">l’indiquer dans le paragraphe « remarques complémentaires du groupe spécialisé », </w:t>
      </w:r>
    </w:p>
    <w:p>
      <w:pPr>
        <w:pPr/>
        <w:numPr>
          <w:ilvl w:val="0"/>
          <w:numId w:val="25"/>
        </w:numPr>
      </w:pPr>
      <w:r>
        <w:rPr/>
        <w:t xml:space="preserve">présenter dans le dossier publié un schéma montrant la mise en place de ce profilé et son interaction avec le gros œuvre.</w:t>
      </w:r>
    </w:p>
    <w:p>
      <w:pPr>
        <w:ind w:left="720" w:right="0"/>
      </w:pPr>
      <w:r>
        <w:rPr>
          <w:rStyle w:val="font_h2"/>
        </w:rPr>
        <w:t xml:space="preserve">6.58.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6.59.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6.60.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6.61.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6.62.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6.63.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6.64.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26"/>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26"/>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6.65. 2024 (05) Entretien des fenêtres respirantes</w:t>
      </w:r>
    </w:p>
    <w:p>
      <w:pPr/>
      <w:r>
        <w:rPr/>
        <w:t xml:space="preserve">Validé par le Groupe Spécialisé le 26/06/2024</w:t>
      </w:r>
    </w:p>
    <w:p>
      <w:pPr/>
      <w:r>
        <w:rPr>
          <w:b/>
          <w:bCs/>
        </w:rPr>
        <w:t xml:space="preserve">Description</w:t>
      </w:r>
    </w:p>
    <w:p>
      <w:pPr/>
      <w:r>
        <w:rPr/>
        <w:t xml:space="preserve">Pour les DTA de fenêtres respirantes, le GS6 souhaite que lui soient présentées les procédures de nettoyage et de remplacement des filtres. Ces procédures seront expliquées dans le paragraphe « Maintien en service du produit » du DTA publié. Cela s’applique pour les dossiers présentés à partir du 26 juin 2024.</w:t>
      </w:r>
    </w:p>
    <w:p>
      <w:pPr>
        <w:ind w:left="720" w:right="0"/>
      </w:pPr>
      <w:r>
        <w:rPr>
          <w:rStyle w:val="font_h2"/>
        </w:rPr>
        <w:t xml:space="preserve">6.66. 2024 (05) Références chantiers des fenêtres respirantes</w:t>
      </w:r>
    </w:p>
    <w:p>
      <w:pPr/>
      <w:r>
        <w:rPr/>
        <w:t xml:space="preserve">Validé par le Groupe Spécialisé le 26/06/2024</w:t>
      </w:r>
    </w:p>
    <w:p>
      <w:pPr/>
      <w:r>
        <w:rPr>
          <w:b/>
          <w:bCs/>
        </w:rPr>
        <w:t xml:space="preserve">Description</w:t>
      </w:r>
    </w:p>
    <w:p>
      <w:pPr/>
      <w:r>
        <w:rPr/>
        <w:t xml:space="preserve">Pour les DTA de fenêtres respirantes, seuls les chantiers ayant fait l’objet d’un suivi pourront être indiqués dans la partie « Références de chantiers ». Lors de chaque révision, les références de chantiers ayant eu lieu depuis la dernière révision et ayant fait l’objet d’un suivi devront être indiquées. Dans le cas où aucun chantier ayant fait l’objet d’un suivi n’a eu lieu, il sera indiqué « Le demandeur déclare n'avoir réalisé aucun chantier avec ce système depuis au moins 2 ans. ».</w:t>
      </w:r>
    </w:p>
    <w:p>
      <w:pPr>
        <w:ind w:left="720" w:right="0"/>
      </w:pPr>
      <w:r>
        <w:rPr>
          <w:rStyle w:val="font_h2"/>
        </w:rPr>
        <w:t xml:space="preserve">6.67. 2024 (05) Rédaction pour les fenêtres respirantes</w:t>
      </w:r>
    </w:p>
    <w:p>
      <w:pPr/>
      <w:r>
        <w:rPr/>
        <w:t xml:space="preserve">Validé par le Groupe Spécialisé le 26/06/2024</w:t>
      </w:r>
    </w:p>
    <w:p>
      <w:pPr/>
      <w:r>
        <w:rPr>
          <w:b/>
          <w:bCs/>
        </w:rPr>
        <w:t xml:space="preserve">Description</w:t>
      </w:r>
    </w:p>
    <w:p>
      <w:pPr/>
      <w:r>
        <w:rPr/>
        <w:t xml:space="preserve">Pour les DTA de fenêtres respirantes :</w:t>
      </w:r>
    </w:p>
    <w:p>
      <w:pPr>
        <w:pPr/>
        <w:numPr>
          <w:ilvl w:val="0"/>
          <w:numId w:val="27"/>
        </w:numPr>
      </w:pPr>
      <w:r>
        <w:rPr/>
        <w:t xml:space="preserve">l’encart spécifique en première page du DTA est complété et devient « Ne peuvent se prévaloir du présent Document Technique d’Application que les unités de fabrication bénéficiant d’un suivi par un organisme tiers conformément au e-cahier du CSTB 3759 » ;</w:t>
      </w:r>
    </w:p>
    <w:p>
      <w:pPr>
        <w:pPr/>
        <w:numPr>
          <w:ilvl w:val="0"/>
          <w:numId w:val="27"/>
        </w:numPr>
      </w:pPr>
      <w:r>
        <w:rPr/>
        <w:t xml:space="preserve">la remarque du GS6 devient « Compte tenu de la sensibilité de fabrication de ce système, seules les unités de fabrication bénéficiant d’un suivi par un organisme tiers, conformément au e-cahier du CSTB 3759, peuvent se prévaloir du présent Document Technique d’Application. La liste des unités bénéficiant d'un tel suivi peut être consultée à l'adresse suivante : </w:t>
      </w:r>
      <w:hyperlink r:id="rId8" w:history="1">
        <w:r>
          <w:rPr/>
          <w:t xml:space="preserve">https://www.ccfat.fr/produits-procedes/famille/443/</w:t>
        </w:r>
      </w:hyperlink>
      <w:r>
        <w:rPr/>
        <w:t xml:space="preserve"> ».</w:t>
      </w:r>
    </w:p>
    <w:p>
      <w:pPr>
        <w:ind w:left="720" w:right="0"/>
      </w:pPr>
      <w:r>
        <w:rPr>
          <w:rStyle w:val="font_h2"/>
        </w:rPr>
        <w:t xml:space="preserve">6.68.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6.69. 2024 (11) Efforts de manœuvres</w:t>
      </w:r>
    </w:p>
    <w:p>
      <w:pPr/>
      <w:r>
        <w:rPr/>
        <w:t xml:space="preserve">Validé par le Groupe Spécialisé le 19/12/2024</w:t>
      </w:r>
    </w:p>
    <w:p>
      <w:pPr/>
      <w:r>
        <w:rPr>
          <w:b/>
          <w:bCs/>
        </w:rPr>
        <w:t xml:space="preserve">Description</w:t>
      </w:r>
    </w:p>
    <w:p>
      <w:pPr/>
      <w:r>
        <w:rPr/>
        <w:t xml:space="preserve">Le GS6 estime qu’un effort de manœuvre pour l’ouverture ou la fermeture des fenêtres en position soufflet supérieur ou égal à 150 N n’est pas recevable.Pour les efforts compris entre 120 N et 150 N, le GS6 examinera les dispositions techniques au cas par cas.</w:t>
      </w:r>
    </w:p>
    <w:p>
      <w:pPr>
        <w:ind w:left="720" w:right="0"/>
      </w:pPr>
      <w:r>
        <w:rPr>
          <w:rStyle w:val="font_h2"/>
        </w:rPr>
        <w:t xml:space="preserve">6.70.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6.71.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6.72. 2025 (06) Essais d’endurance ouverture-fermeture sur porte-fenêtre OB2</w:t>
      </w:r>
    </w:p>
    <w:p>
      <w:pPr/>
      <w:r>
        <w:rPr/>
        <w:t xml:space="preserve">Validé par le Groupe Spécialisé le 18/09/2025</w:t>
      </w:r>
    </w:p>
    <w:p>
      <w:pPr/>
      <w:r>
        <w:rPr>
          <w:b/>
          <w:bCs/>
        </w:rPr>
        <w:t xml:space="preserve">Description</w:t>
      </w:r>
    </w:p>
    <w:p>
      <w:pPr/>
      <w:r>
        <w:rPr/>
        <w:t xml:space="preserve">Rappel de la jurisprudence de mars 2012 :Lorsqu'un projet de DTA comporte une porte-fenêtre OB2, un essai d'endurance ouverture/fermeture et essais mécaniques spécifiques devront être réalisés dans cette configuration.</w:t>
      </w:r>
    </w:p>
    <w:p>
      <w:pPr/>
      <w:r>
        <w:rPr/>
        <w:t xml:space="preserve">Le GS6 souhaite modifier cette jurisprudence de la manière suivante :Lorsqu'un projet de DTA comporte une porte-fenêtre OB2, un essai d'endurance ouverture/fermeture et des essais mécaniques spécifiques devront être réalisés dans cette configuration, hormis dans les cas où la gâche permettant le basculement en OB est portée sur le dormant.</w:t>
      </w:r>
    </w:p>
    <w:p>
      <w:pPr>
        <w:ind w:left="720" w:right="0"/>
      </w:pPr>
      <w:r>
        <w:rPr>
          <w:rStyle w:val="font_h2"/>
        </w:rPr>
        <w:t xml:space="preserve">6.73.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6.74.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6.75.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28"/>
        </w:numPr>
      </w:pPr>
      <w:r>
        <w:rPr/>
        <w:t xml:space="preserve">Classement A*3 : la justification est jugée recevable. </w:t>
      </w:r>
    </w:p>
    <w:p>
      <w:pPr>
        <w:pPr/>
        <w:numPr>
          <w:ilvl w:val="0"/>
          <w:numId w:val="28"/>
        </w:numPr>
      </w:pPr>
      <w:r>
        <w:rPr/>
        <w:t xml:space="preserve">Classement A*3 jusqu’à 450 Pa : la justification est présentable devant le GS6 qui jugera à dire d’experts. </w:t>
      </w:r>
    </w:p>
    <w:p>
      <w:pPr>
        <w:pPr/>
        <w:numPr>
          <w:ilvl w:val="0"/>
          <w:numId w:val="28"/>
        </w:numPr>
      </w:pPr>
      <w:r>
        <w:rPr/>
        <w:t xml:space="preserve">Classement inférieur à A*3 à 450 Pa : la justification n’est pas recevable.</w:t>
      </w:r>
    </w:p>
    <w:p>
      <w:pPr>
        <w:ind w:left="720" w:right="0"/>
      </w:pPr>
      <w:r>
        <w:rPr>
          <w:rStyle w:val="font_h2"/>
        </w:rPr>
        <w:t xml:space="preserve">6.76. 2025 (10) Protocole de maintenance des fenêtres respirantes</w:t>
      </w:r>
    </w:p>
    <w:p>
      <w:pPr/>
      <w:r>
        <w:rPr/>
        <w:t xml:space="preserve">Validé par le Groupe Spécialisé le 13/11/2025</w:t>
      </w:r>
    </w:p>
    <w:p>
      <w:pPr/>
      <w:r>
        <w:rPr>
          <w:b/>
          <w:bCs/>
        </w:rPr>
        <w:t xml:space="preserve">Description</w:t>
      </w:r>
    </w:p>
    <w:p>
      <w:pPr/>
      <w:r>
        <w:rPr/>
        <w:t xml:space="preserve">Les DTA de fenêtres respirantes devront dorénavant présenter le principe de maintenance de la partie respirante, en indiquant les contrôles, la régularité, la facilité d’accès, … </w:t>
      </w:r>
    </w:p>
    <w:p>
      <w:pPr/>
      <w:r>
        <w:rPr/>
        <w:t xml:space="preserve">Il sera ajouté au paragraphe « 2.5 Maintien en service du produit ou procédé », la maintenance prévue pour les fenêtres respirantes, dont notamment, le protocole précis de nettoyage et de changement de filtre.</w:t>
      </w:r>
    </w:p>
    <w:p>
      <w:pPr>
        <w:ind w:left="720" w:right="0"/>
      </w:pPr>
      <w:r>
        <w:rPr>
          <w:rStyle w:val="font_h2"/>
        </w:rPr>
        <w:t xml:space="preserve">6.77. 2025 (10) Couleur des stores dans les fenêtres respirantes</w:t>
      </w:r>
    </w:p>
    <w:p>
      <w:pPr/>
      <w:r>
        <w:rPr/>
        <w:t xml:space="preserve">Validé par le Groupe Spécialisé le 13/11/2025</w:t>
      </w:r>
    </w:p>
    <w:p>
      <w:pPr/>
      <w:r>
        <w:rPr>
          <w:b/>
          <w:bCs/>
        </w:rPr>
        <w:t xml:space="preserve">Description</w:t>
      </w:r>
    </w:p>
    <w:p>
      <w:pPr/>
      <w:r>
        <w:rPr/>
        <w:t xml:space="preserve">Dans les remarques complémentaires du GS, dans le cas des fenêtres respirantes, il conviendra d’ajouter la phrase suivante : « En présence d’un store de couleur foncée, une vigilance est à apporter vis à vis des températures atteintes dans la lame d’air respirante (voir paragraphe « 2.3 Dispositions de conception ») ».</w:t>
      </w:r>
    </w:p>
    <w:p>
      <w:pPr>
        <w:ind w:left="720" w:right="0"/>
      </w:pPr>
      <w:r>
        <w:rPr>
          <w:rStyle w:val="font_h2"/>
        </w:rPr>
        <w:t xml:space="preserve">6.78.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29"/>
        </w:numPr>
      </w:pPr>
      <w:r>
        <w:rPr/>
        <w:t xml:space="preserve">les vitrages isolants doubles et/ou triples ; </w:t>
      </w:r>
    </w:p>
    <w:p>
      <w:pPr>
        <w:pPr/>
        <w:numPr>
          <w:ilvl w:val="0"/>
          <w:numId w:val="29"/>
        </w:numPr>
      </w:pPr>
      <w:r>
        <w:rPr/>
        <w:t xml:space="preserve">les vitrages isolants simples justifiant de performances thermiques (exemple : vitrages sous vide) ; </w:t>
      </w:r>
    </w:p>
    <w:p>
      <w:pPr>
        <w:pPr/>
        <w:numPr>
          <w:ilvl w:val="0"/>
          <w:numId w:val="29"/>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0"/>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0"/>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6.79.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6.80.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6.81.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6.82.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6.83.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9"/>
      <w:footerReference w:type="default" r:id="rId10"/>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6FA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3C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B6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1E9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200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A57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A976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34C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5A8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2172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1F6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57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EC50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B5CD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B62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B87F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5D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2B48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945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EE8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80A3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6BF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cfat.fr/produits-procedes/famille/443/"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2026-09-10T18:34:00+02:00</dcterms:created>
  <dcterms:modified xsi:type="dcterms:W3CDTF">2026-09-10T18:34:00+02:00</dcterms:modified>
</cp:coreProperties>
</file>

<file path=docProps/custom.xml><?xml version="1.0" encoding="utf-8"?>
<Properties xmlns="http://schemas.openxmlformats.org/officeDocument/2006/custom-properties" xmlns:vt="http://schemas.openxmlformats.org/officeDocument/2006/docPropsVTypes"/>
</file>