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Fenêtre mixte à la française, oscillo battante ou à soufflet</w:t>
      </w:r>
    </w:p>
    <w:p>
      <w:pPr/>
      <w:r>
        <w:rPr>
          <w:rStyle w:val="font_h1"/>
        </w:rPr>
        <w:t xml:space="preserve">1. Principe</w:t>
      </w:r>
    </w:p>
    <w:p>
      <w:pPr/>
      <w:r>
        <w:rPr>
          <w:rStyle w:val="font_h1"/>
        </w:rPr>
        <w:t xml:space="preserve">2. Matériaux</w:t>
      </w:r>
    </w:p>
    <w:p>
      <w:pPr>
        <w:ind w:left="720" w:right="0"/>
      </w:pPr>
      <w:r>
        <w:rPr>
          <w:rStyle w:val="font_h2"/>
        </w:rPr>
        <w:t xml:space="preserve">2.1. Profilés mixtes</w:t>
      </w:r>
    </w:p>
    <w:p>
      <w:pPr>
        <w:ind w:left="720" w:right="0"/>
      </w:pPr>
      <w:r>
        <w:rPr>
          <w:rStyle w:val="font_h2"/>
        </w:rPr>
        <w:t xml:space="preserve">2.2. Profilés PVC</w:t>
      </w:r>
    </w:p>
    <w:p>
      <w:pPr>
        <w:ind w:left="720" w:right="0"/>
      </w:pPr>
      <w:r>
        <w:rPr>
          <w:rStyle w:val="font_h2"/>
        </w:rPr>
        <w:t xml:space="preserve">2.3. Profilés aluminium</w:t>
      </w:r>
    </w:p>
    <w:p>
      <w:pPr>
        <w:ind w:left="1440" w:right="0"/>
      </w:pPr>
      <w:r>
        <w:rPr>
          <w:rStyle w:val="font_h3"/>
        </w:rPr>
        <w:t xml:space="preserve">2.3.1. Profilés aluminium à rupture de pont thermique</w:t>
      </w:r>
    </w:p>
    <w:p>
      <w:pPr>
        <w:ind w:left="1440" w:right="0"/>
      </w:pPr>
      <w:r>
        <w:rPr>
          <w:rStyle w:val="font_h3"/>
        </w:rPr>
        <w:t xml:space="preserve">2.3.2. Profilés aluminium</w:t>
      </w:r>
    </w:p>
    <w:p>
      <w:pPr>
        <w:ind w:left="720" w:right="0"/>
      </w:pPr>
      <w:r>
        <w:rPr>
          <w:rStyle w:val="font_h2"/>
        </w:rPr>
        <w:t xml:space="preserve">2.4. Profilés bois</w:t>
      </w:r>
    </w:p>
    <w:p>
      <w:pPr>
        <w:ind w:left="720" w:right="0"/>
      </w:pPr>
      <w:r>
        <w:rPr>
          <w:rStyle w:val="font_h2"/>
        </w:rPr>
        <w:t xml:space="preserve">2.5. Profilés renforts</w:t>
      </w:r>
    </w:p>
    <w:p>
      <w:pPr>
        <w:ind w:left="720" w:right="0"/>
      </w:pPr>
      <w:r>
        <w:rPr>
          <w:rStyle w:val="font_h2"/>
        </w:rPr>
        <w:t xml:space="preserve">2.6. Profilés complémentaires d'étanchéité</w:t>
      </w:r>
    </w:p>
    <w:p>
      <w:pPr>
        <w:ind w:left="720" w:right="0"/>
      </w:pPr>
      <w:r>
        <w:rPr>
          <w:rStyle w:val="font_h2"/>
        </w:rPr>
        <w:t xml:space="preserve">2.7. Accessoires</w:t>
      </w:r>
    </w:p>
    <w:p>
      <w:pPr>
        <w:ind w:left="720" w:right="0"/>
      </w:pPr>
      <w:r>
        <w:rPr>
          <w:rStyle w:val="font_h2"/>
        </w:rPr>
        <w:t xml:space="preserve">2.8. Quincaillerie</w:t>
      </w:r>
    </w:p>
    <w:p>
      <w:pPr>
        <w:ind w:left="720" w:right="0"/>
      </w:pPr>
      <w:r>
        <w:rPr>
          <w:rStyle w:val="font_h2"/>
        </w:rPr>
        <w:t xml:space="preserve">2.9. Vitrages</w:t>
      </w:r>
    </w:p>
    <w:p>
      <w:pPr/>
      <w:r>
        <w:rPr>
          <w:rStyle w:val="font_h1"/>
        </w:rPr>
        <w:t xml:space="preserve">3. Eléments</w:t>
      </w:r>
    </w:p>
    <w:p>
      <w:pPr>
        <w:ind w:left="720" w:right="0"/>
      </w:pPr>
      <w:r>
        <w:rPr>
          <w:rStyle w:val="font_h2"/>
        </w:rPr>
        <w:t xml:space="preserve">3.1. Cadre dormant</w:t>
      </w:r>
    </w:p>
    <w:p>
      <w:pPr>
        <w:ind w:left="1440" w:right="0"/>
      </w:pPr>
      <w:r>
        <w:rPr>
          <w:rStyle w:val="font_h3"/>
        </w:rPr>
        <w:t xml:space="preserve">3.1.1. Assemblage meneau et traverse intermédiaire</w:t>
      </w:r>
    </w:p>
    <w:p>
      <w:pPr>
        <w:ind w:left="1440" w:right="0"/>
      </w:pPr>
      <w:r>
        <w:rPr>
          <w:rStyle w:val="font_h3"/>
        </w:rPr>
        <w:t xml:space="preserve">3.1.2. Drainage</w:t>
      </w:r>
    </w:p>
    <w:p>
      <w:pPr>
        <w:ind w:left="1440" w:right="0"/>
      </w:pPr>
      <w:r>
        <w:rPr>
          <w:rStyle w:val="font_h3"/>
        </w:rPr>
        <w:t xml:space="preserve">3.1.3. Equilibrage de pression</w:t>
      </w:r>
    </w:p>
    <w:p>
      <w:pPr>
        <w:ind w:left="1440" w:right="0"/>
      </w:pPr>
      <w:r>
        <w:rPr>
          <w:rStyle w:val="font_h3"/>
        </w:rPr>
        <w:t xml:space="preserve">3.1.4. Fourrures d'épaisseurs</w:t>
      </w:r>
    </w:p>
    <w:p>
      <w:pPr>
        <w:ind w:left="1440" w:right="0"/>
      </w:pPr>
      <w:r>
        <w:rPr>
          <w:rStyle w:val="font_h3"/>
        </w:rPr>
        <w:t xml:space="preserve">3.1.5. Seuil</w:t>
      </w:r>
    </w:p>
    <w:p>
      <w:pPr>
        <w:ind w:left="1440" w:right="0"/>
      </w:pPr>
      <w:r>
        <w:rPr>
          <w:rStyle w:val="font_h3"/>
        </w:rPr>
        <w:t xml:space="preserve">3.1.6. Fixe</w:t>
      </w:r>
    </w:p>
    <w:p>
      <w:pPr>
        <w:ind w:left="720" w:right="0"/>
      </w:pPr>
      <w:r>
        <w:rPr>
          <w:rStyle w:val="font_h2"/>
        </w:rPr>
        <w:t xml:space="preserve">3.2. Cadre ouvrant</w:t>
      </w:r>
    </w:p>
    <w:p>
      <w:pPr>
        <w:ind w:left="1440" w:right="0"/>
      </w:pPr>
      <w:r>
        <w:rPr>
          <w:rStyle w:val="font_h3"/>
        </w:rPr>
        <w:t xml:space="preserve">3.2.1. Assemblage des cadres ouvrants bois</w:t>
      </w:r>
    </w:p>
    <w:p>
      <w:pPr>
        <w:ind w:left="1440" w:right="0"/>
      </w:pPr>
      <w:r>
        <w:rPr>
          <w:rStyle w:val="font_h3"/>
        </w:rPr>
        <w:t xml:space="preserve">3.2.2. Assemblage des cadres ouvrants aluminium</w:t>
      </w:r>
    </w:p>
    <w:p>
      <w:pPr>
        <w:ind w:left="1440" w:right="0"/>
      </w:pPr>
      <w:r>
        <w:rPr>
          <w:rStyle w:val="font_h3"/>
        </w:rPr>
        <w:t xml:space="preserve">3.2.3. Assemblage des cadres ouvrants PVC</w:t>
      </w:r>
    </w:p>
    <w:p>
      <w:pPr>
        <w:ind w:left="1440" w:right="0"/>
      </w:pPr>
      <w:r>
        <w:rPr>
          <w:rStyle w:val="font_h3"/>
        </w:rPr>
        <w:t xml:space="preserve">3.2.4. Battements</w:t>
      </w:r>
    </w:p>
    <w:p>
      <w:pPr>
        <w:ind w:left="1440" w:right="0"/>
      </w:pPr>
      <w:r>
        <w:rPr>
          <w:rStyle w:val="font_h3"/>
        </w:rPr>
        <w:t xml:space="preserve">3.2.5. Rejet d'eau</w:t>
      </w:r>
    </w:p>
    <w:p>
      <w:pPr>
        <w:ind w:left="1440" w:right="0"/>
      </w:pPr>
      <w:r>
        <w:rPr>
          <w:rStyle w:val="font_h3"/>
        </w:rPr>
        <w:t xml:space="preserve">3.2.6. Traverse intermédiaire</w:t>
      </w:r>
    </w:p>
    <w:p>
      <w:pPr>
        <w:ind w:left="1440" w:right="0"/>
      </w:pPr>
      <w:r>
        <w:rPr>
          <w:rStyle w:val="font_h3"/>
        </w:rPr>
        <w:t xml:space="preserve">3.2.7. Renforts</w:t>
      </w:r>
    </w:p>
    <w:p>
      <w:pPr>
        <w:ind w:left="1440" w:right="0"/>
      </w:pPr>
      <w:r>
        <w:rPr>
          <w:rStyle w:val="font_h3"/>
        </w:rPr>
        <w:t xml:space="preserve">3.2.8. Drainage de la feuillure à verre</w:t>
      </w:r>
    </w:p>
    <w:p>
      <w:pPr>
        <w:ind w:left="1440" w:right="0"/>
      </w:pPr>
      <w:r>
        <w:rPr>
          <w:rStyle w:val="font_h3"/>
        </w:rPr>
        <w:t xml:space="preserve">3.2.9. Équilibrage de pression</w:t>
      </w:r>
    </w:p>
    <w:p>
      <w:pPr>
        <w:ind w:left="720" w:right="0"/>
      </w:pPr>
      <w:r>
        <w:rPr>
          <w:rStyle w:val="font_h2"/>
        </w:rPr>
        <w:t xml:space="preserve">3.3. Ferrage</w:t>
      </w:r>
    </w:p>
    <w:p>
      <w:pPr>
        <w:ind w:left="1440" w:right="0"/>
      </w:pPr>
      <w:r>
        <w:rPr>
          <w:rStyle w:val="font_h3"/>
        </w:rPr>
        <w:t xml:space="preserve">3.3.1. Ouverture à la française</w:t>
      </w:r>
    </w:p>
    <w:p>
      <w:pPr>
        <w:ind w:left="1440" w:right="0"/>
      </w:pPr>
      <w:r>
        <w:rPr>
          <w:rStyle w:val="font_h3"/>
        </w:rPr>
        <w:t xml:space="preserve">3.3.2. Ouverture à soufflet</w:t>
      </w:r>
    </w:p>
    <w:p>
      <w:pPr>
        <w:ind w:left="1440" w:right="0"/>
      </w:pPr>
      <w:r>
        <w:rPr>
          <w:rStyle w:val="font_h3"/>
        </w:rPr>
        <w:t xml:space="preserve">3.3.3. Ouverture oscillo-battant</w:t>
      </w:r>
    </w:p>
    <w:p>
      <w:pPr>
        <w:ind w:left="1440" w:right="0"/>
      </w:pPr>
      <w:r>
        <w:rPr>
          <w:rStyle w:val="font_h3"/>
        </w:rPr>
        <w:t xml:space="preserve">3.3.4. Calage ouvrant</w:t>
      </w:r>
    </w:p>
    <w:p>
      <w:pPr>
        <w:ind w:left="720" w:right="0"/>
      </w:pPr>
      <w:r>
        <w:rPr>
          <w:rStyle w:val="font_h2"/>
        </w:rPr>
        <w:t xml:space="preserve">3.6. Vitrage</w:t>
      </w:r>
    </w:p>
    <w:p>
      <w:pPr>
        <w:ind w:left="1440" w:right="0"/>
      </w:pPr>
      <w:r>
        <w:rPr>
          <w:rStyle w:val="font_h3"/>
        </w:rPr>
        <w:t xml:space="preserve">3.4.1. Généralités</w:t>
      </w:r>
    </w:p>
    <w:p>
      <w:pPr>
        <w:ind w:left="1440" w:right="0"/>
      </w:pPr>
      <w:r>
        <w:rPr>
          <w:rStyle w:val="font_h3"/>
        </w:rPr>
        <w:t xml:space="preserve">3.4.2. Collage vitrage ouvrant</w:t>
      </w:r>
    </w:p>
    <w:p>
      <w:pPr>
        <w:ind w:left="1440" w:right="0"/>
      </w:pPr>
      <w:r>
        <w:rPr>
          <w:rStyle w:val="font_h3"/>
        </w:rPr>
        <w:t xml:space="preserve">3.4.3. Remplacement du vitrage</w:t>
      </w:r>
    </w:p>
    <w:p>
      <w:pPr>
        <w:ind w:left="720" w:right="0"/>
      </w:pPr>
      <w:r>
        <w:rPr>
          <w:rStyle w:val="font_h2"/>
        </w:rPr>
        <w:t xml:space="preserve">3.7. Dimensions maximales</w:t>
      </w:r>
    </w:p>
    <w:p>
      <w:pPr/>
      <w:r>
        <w:rPr>
          <w:rStyle w:val="font_h1"/>
        </w:rPr>
        <w:t xml:space="preserve">4. Fabrication</w:t>
      </w:r>
    </w:p>
    <w:p>
      <w:pPr>
        <w:ind w:left="720" w:right="0"/>
      </w:pPr>
      <w:r>
        <w:rPr>
          <w:rStyle w:val="font_h2"/>
        </w:rPr>
        <w:t xml:space="preserve">4.1. Fabrication des profilés</w:t>
      </w:r>
    </w:p>
    <w:p>
      <w:pPr>
        <w:ind w:left="1440" w:right="0"/>
      </w:pPr>
      <w:r>
        <w:rPr>
          <w:rStyle w:val="font_h3"/>
        </w:rPr>
        <w:t xml:space="preserve">4.1.1. Profilés aluminium</w:t>
      </w:r>
    </w:p>
    <w:p>
      <w:pPr>
        <w:ind w:left="1440" w:right="0"/>
      </w:pPr>
      <w:r>
        <w:rPr>
          <w:rStyle w:val="font_h3"/>
        </w:rPr>
        <w:t xml:space="preserve">4.1.2. Profilés PVC</w:t>
      </w:r>
    </w:p>
    <w:p>
      <w:pPr>
        <w:ind w:left="1440" w:right="0"/>
      </w:pPr>
      <w:r>
        <w:rPr>
          <w:rStyle w:val="font_h3"/>
        </w:rPr>
        <w:t xml:space="preserve">4.1.3. Assemblage des profilés alu-PVC</w:t>
      </w:r>
    </w:p>
    <w:p>
      <w:pPr>
        <w:ind w:left="1440" w:right="0"/>
      </w:pPr>
      <w:r>
        <w:rPr>
          <w:rStyle w:val="font_h3"/>
        </w:rPr>
        <w:t xml:space="preserve">4.1.4. Usinage et assemblage des profilés bois</w:t>
      </w:r>
    </w:p>
    <w:p>
      <w:pPr>
        <w:ind w:left="1440" w:right="0"/>
      </w:pPr>
      <w:r>
        <w:rPr>
          <w:rStyle w:val="font_h3"/>
        </w:rPr>
        <w:t xml:space="preserve">4.1.5. Placage bois</w:t>
      </w:r>
    </w:p>
    <w:p>
      <w:pPr>
        <w:ind w:left="720" w:right="0"/>
      </w:pPr>
      <w:r>
        <w:rPr>
          <w:rStyle w:val="font_h2"/>
        </w:rPr>
        <w:t xml:space="preserve">4.2. Assemblage des fenêtres</w:t>
      </w:r>
    </w:p>
    <w:p>
      <w:pPr>
        <w:ind w:left="720" w:right="0"/>
      </w:pPr>
      <w:r>
        <w:rPr>
          <w:rStyle w:val="font_h2"/>
        </w:rPr>
        <w:t xml:space="preserve">4.3. Autocontrole</w:t>
      </w:r>
    </w:p>
    <w:p>
      <w:pPr>
        <w:ind w:left="1440" w:right="0"/>
      </w:pPr>
      <w:r>
        <w:rPr>
          <w:rStyle w:val="font_h3"/>
        </w:rPr>
        <w:t xml:space="preserve">4.3.1. Profilés aluminium</w:t>
      </w:r>
    </w:p>
    <w:p>
      <w:pPr>
        <w:ind w:left="1440" w:right="0"/>
      </w:pPr>
      <w:r>
        <w:rPr>
          <w:rStyle w:val="font_h3"/>
        </w:rPr>
        <w:t xml:space="preserve">4.3.2. Profilés PVC</w:t>
      </w:r>
    </w:p>
    <w:p>
      <w:pPr>
        <w:ind w:left="1440" w:right="0"/>
      </w:pPr>
      <w:r>
        <w:rPr>
          <w:rStyle w:val="font_h3"/>
        </w:rPr>
        <w:t xml:space="preserve">4.3.3. Assemblage profilés alu-PVC</w:t>
      </w:r>
    </w:p>
    <w:p>
      <w:pPr>
        <w:ind w:left="1440" w:right="0"/>
      </w:pPr>
      <w:r>
        <w:rPr>
          <w:rStyle w:val="font_h3"/>
        </w:rPr>
        <w:t xml:space="preserve">4.3.4. Cadre bois</w:t>
      </w:r>
    </w:p>
    <w:p>
      <w:pPr>
        <w:ind w:left="1440" w:right="0"/>
      </w:pPr>
      <w:r>
        <w:rPr>
          <w:rStyle w:val="font_h3"/>
        </w:rPr>
        <w:t xml:space="preserve">4.3.5. Placage bois</w:t>
      </w:r>
    </w:p>
    <w:p>
      <w:pPr>
        <w:ind w:left="1440" w:right="0"/>
      </w:pPr>
      <w:r>
        <w:rPr>
          <w:rStyle w:val="font_h3"/>
        </w:rPr>
        <w:t xml:space="preserve">4.3.6. Collage vitrage</w:t>
      </w:r>
    </w:p>
    <w:p>
      <w:pPr/>
      <w:r>
        <w:rPr>
          <w:rStyle w:val="font_h1"/>
        </w:rPr>
        <w:t xml:space="preserve">5. Mise en œuvre</w:t>
      </w:r>
    </w:p>
    <w:p>
      <w:pPr>
        <w:ind w:left="720" w:right="0"/>
      </w:pPr>
      <w:r>
        <w:rPr>
          <w:rStyle w:val="font_h2"/>
        </w:rPr>
        <w:t xml:space="preserve">5.1. Mise en œuvre</w:t>
      </w:r>
    </w:p>
    <w:p>
      <w:pPr>
        <w:ind w:left="720" w:right="0"/>
      </w:pPr>
      <w:r>
        <w:rPr>
          <w:rStyle w:val="font_h2"/>
        </w:rPr>
        <w:t xml:space="preserve">5.2. Système d'étanchéité</w:t>
      </w:r>
    </w:p>
    <w:p>
      <w:pPr>
        <w:ind w:left="720" w:right="0"/>
      </w:pPr>
      <w:r>
        <w:rPr>
          <w:rStyle w:val="font_h2"/>
        </w:rPr>
        <w:t xml:space="preserve">5.3. Nettoyage</w:t>
      </w:r>
    </w:p>
    <w:p>
      <w:pPr>
        <w:ind w:left="720" w:right="0"/>
      </w:pPr>
      <w:r>
        <w:rPr>
          <w:rStyle w:val="font_h2"/>
        </w:rPr>
        <w:t xml:space="preserve">5.4. Accessibilité</w:t>
      </w:r>
    </w:p>
    <w:p>
      <w:pPr/>
      <w:r>
        <w:rPr/>
        <w:t xml:space="preserve">Validé par le Groupe Spécialisé le 07/03/2019</w:t>
      </w:r>
    </w:p>
    <w:p>
      <w:pPr/>
      <w:r>
        <w:rPr>
          <w:b/>
          <w:bCs/>
        </w:rPr>
        <w:t xml:space="preserve">Description</w:t>
      </w:r>
    </w:p>
    <w:p>
      <w:pPr/>
      <w:r>
        <w:rPr/>
        <w:t xml:space="preserve">Hauteur du seuil PMR avec une lèvre souple</w:t>
      </w:r>
    </w:p>
    <w:p>
      <w:pPr/>
      <w:r>
        <w:rPr/>
        <w:t xml:space="preserve">Le GS considère que la hauteur de 20 mm du seuil de menuiserie prévue dans l’arrêté de novembre 2007, incorpore les éventuelles parties souples présentent sur le profil formant seuil.</w:t>
      </w:r>
    </w:p>
    <w:p>
      <w:pPr/>
      <w:r>
        <w:rPr>
          <w:rStyle w:val="font_h1"/>
        </w:rPr>
        <w:t xml:space="preserve">6. Jurisprudences</w:t>
      </w:r>
    </w:p>
    <w:p>
      <w:pPr>
        <w:ind w:left="720" w:right="0"/>
      </w:pPr>
      <w:r>
        <w:rPr>
          <w:rStyle w:val="font_h2"/>
        </w:rPr>
        <w:t xml:space="preserve">6.1. 2017 (02) Position du GS sur les dossiers de suivi des fenêtres respirantes</w:t>
      </w:r>
    </w:p>
    <w:p>
      <w:pPr/>
      <w:r>
        <w:rPr/>
        <w:t xml:space="preserve">Validé par le Groupe Spécialisé le 02/01/2018</w:t>
      </w:r>
    </w:p>
    <w:p>
      <w:pPr/>
      <w:r>
        <w:rPr>
          <w:b/>
          <w:bCs/>
        </w:rPr>
        <w:t xml:space="preserve">Description</w:t>
      </w:r>
    </w:p>
    <w:p>
      <w:pPr/>
      <w:r>
        <w:rPr/>
        <w:t xml:space="preserve">Il sera précisé sur la première page des DTA, par un encart, ainsi que dans les remarques complémentaires du Groupe Spécialisé, que seules les unités de fabrication bénéficiant d’un suivi « pass respirant » pourront se prévaloir du DTA.De plus, en l’absence de mesure de la perméabilité à l’air de la paroi intérieure, la valeur par défaut de débit de 0,5 m3/ (h.m2) sous 150 Pa sera considérée comme l’exigence maximale de débit de fuite à l’air dans le cadre des essais de contrôle à réaliser en usine.</w:t>
      </w:r>
    </w:p>
    <w:p>
      <w:pPr>
        <w:ind w:left="720" w:right="0"/>
      </w:pPr>
      <w:r>
        <w:rPr>
          <w:rStyle w:val="font_h2"/>
        </w:rPr>
        <w:t xml:space="preserve">6.2. 2017 (03) Position du GS pour les systèmes de « panneaux de remplissage »</w:t>
      </w:r>
    </w:p>
    <w:p>
      <w:pPr/>
      <w:r>
        <w:rPr/>
        <w:t xml:space="preserve">Validé par le Groupe Spécialisé le 02/01/2018</w:t>
      </w:r>
    </w:p>
    <w:p>
      <w:pPr/>
      <w:r>
        <w:rPr>
          <w:b/>
          <w:bCs/>
        </w:rPr>
        <w:t xml:space="preserve">Description</w:t>
      </w:r>
    </w:p>
    <w:p>
      <w:pPr/>
      <w:r>
        <w:rPr/>
        <w:t xml:space="preserve">Le Groupe Spécialisé n°6 confirme la nécessité d’une identification visuelle pour chaque panneau conforme à l’Avis technique.Cette identification doit inclure la référence à l’Avis technique (via le logo de la CCFAT).</w:t>
      </w:r>
    </w:p>
    <w:p>
      <w:pPr>
        <w:ind w:left="720" w:right="0"/>
      </w:pPr>
      <w:r>
        <w:rPr>
          <w:rStyle w:val="font_h2"/>
        </w:rPr>
        <w:t xml:space="preserve">6.3. 2017 (03) Position du GS sur les dossiers de suivi des fenêtres respirantes</w:t>
      </w:r>
    </w:p>
    <w:p>
      <w:pPr/>
      <w:r>
        <w:rPr/>
        <w:t xml:space="preserve">Validé par le Groupe Spécialisé le 02/01/2018</w:t>
      </w:r>
    </w:p>
    <w:p>
      <w:pPr/>
      <w:r>
        <w:rPr>
          <w:b/>
          <w:bCs/>
        </w:rPr>
        <w:t xml:space="preserve">Description</w:t>
      </w:r>
    </w:p>
    <w:p>
      <w:pPr/>
      <w:r>
        <w:rPr/>
        <w:t xml:space="preserve">La mise en application des dispositions de contrôles en production et de suivi des unités de fabrication des fenêtres respirantes sous DTA, selon les critères définis dans le cahier CSTB 3759, a été acté, elle est d’application effective depuis le 1er mars 2017.</w:t>
      </w:r>
    </w:p>
    <w:p>
      <w:pPr>
        <w:ind w:left="720" w:right="0"/>
      </w:pPr>
      <w:r>
        <w:rPr>
          <w:rStyle w:val="font_h2"/>
        </w:rPr>
        <w:t xml:space="preserve">6.4. 2017 (06) Position du GS pour les travaux de rénovations sur dormants existants</w:t>
      </w:r>
    </w:p>
    <w:p>
      <w:pPr/>
      <w:r>
        <w:rPr/>
        <w:t xml:space="preserve">Validé par le Groupe Spécialisé le 28/09/2017</w:t>
      </w:r>
    </w:p>
    <w:p>
      <w:pPr/>
      <w:r>
        <w:rPr>
          <w:b/>
          <w:bCs/>
        </w:rPr>
        <w:t xml:space="preserve">Description</w:t>
      </w:r>
    </w:p>
    <w:p>
      <w:pPr/>
      <w:r>
        <w:rPr/>
        <w:t xml:space="preserve">Le GS est très réservé sur les possibilités de rénovation avec conservation d’anciens dormants PVC ou aluminium, pour les raisons suivantes :</w:t>
      </w:r>
    </w:p>
    <w:p>
      <w:pPr>
        <w:pPr/>
        <w:numPr>
          <w:ilvl w:val="0"/>
          <w:numId w:val="9"/>
        </w:numPr>
      </w:pPr>
      <w:r>
        <w:rPr/>
        <w:t xml:space="preserve">difficulté de connaitre vraiment l’état des pattes de fixation,</w:t>
      </w:r>
    </w:p>
    <w:p>
      <w:pPr>
        <w:pPr/>
        <w:numPr>
          <w:ilvl w:val="0"/>
          <w:numId w:val="9"/>
        </w:numPr>
      </w:pPr>
      <w:r>
        <w:rPr/>
        <w:t xml:space="preserve">solution thermiquement très difficile à réaliser correctement vis-à-vis de la liaison entre le nouveau et l’ancien dormant,</w:t>
      </w:r>
    </w:p>
    <w:p>
      <w:pPr>
        <w:pPr/>
        <w:numPr>
          <w:ilvl w:val="0"/>
          <w:numId w:val="9"/>
        </w:numPr>
      </w:pPr>
      <w:r>
        <w:rPr/>
        <w:t xml:space="preserve">connaissance très difficile des matières PVC des anciens dormants et de leur état de conservation,</w:t>
      </w:r>
    </w:p>
    <w:p>
      <w:pPr>
        <w:pPr/>
        <w:numPr>
          <w:ilvl w:val="0"/>
          <w:numId w:val="9"/>
        </w:numPr>
      </w:pPr>
      <w:r>
        <w:rPr/>
        <w:t xml:space="preserve">compatibilité de ces matières avec les mastics de calfeutrement à utiliser,</w:t>
      </w:r>
    </w:p>
    <w:p>
      <w:pPr>
        <w:pPr/>
        <w:numPr>
          <w:ilvl w:val="0"/>
          <w:numId w:val="9"/>
        </w:numPr>
      </w:pPr>
      <w:r>
        <w:rPr/>
        <w:t xml:space="preserve">difficulté pour conserver le clair de vitrage.</w:t>
      </w:r>
    </w:p>
    <w:p>
      <w:pPr>
        <w:ind w:left="720" w:right="0"/>
      </w:pPr>
      <w:r>
        <w:rPr>
          <w:rStyle w:val="font_h2"/>
        </w:rPr>
        <w:t xml:space="preserve">6.5. 2017 (10) Recouvrement minimum en cas de pose ITE</w:t>
      </w:r>
    </w:p>
    <w:p>
      <w:pPr/>
      <w:r>
        <w:rPr/>
        <w:t xml:space="preserve">Validé par le Groupe Spécialisé le 02/01/2018</w:t>
      </w:r>
    </w:p>
    <w:p>
      <w:pPr/>
      <w:r>
        <w:rPr>
          <w:b/>
          <w:bCs/>
        </w:rPr>
        <w:t xml:space="preserve">Description</w:t>
      </w:r>
    </w:p>
    <w:p>
      <w:pPr/>
      <w:r>
        <w:rPr/>
        <w:t xml:space="preserve">Recouvrement minimum en cas de pose ITE :</w:t>
      </w:r>
    </w:p>
    <w:p>
      <w:pPr/>
      <w:r>
        <w:rPr/>
        <w:t xml:space="preserve">Dans le cas d'une pose de fenêtres en applique extérieure avec une ITE, la largeur disponible sur le dormant vis-à-vis du gros oeuvre doit être au minimum de 28mm. Il conviendra de vérifier que les dormants et autres fourrures d'épaisseurs permettent de satisfaire cette exigence.</w:t>
      </w:r>
    </w:p>
    <w:p>
      <w:pPr>
        <w:ind w:left="720" w:right="0"/>
      </w:pPr>
      <w:r>
        <w:rPr>
          <w:rStyle w:val="font_h2"/>
        </w:rPr>
        <w:t xml:space="preserve">6.6. 2017 (12) Mise en œuvre ITE</w:t>
      </w:r>
    </w:p>
    <w:p>
      <w:pPr/>
      <w:r>
        <w:rPr/>
        <w:t xml:space="preserve">Validé par le Groupe Spécialisé le 02/01/2018</w:t>
      </w:r>
    </w:p>
    <w:p>
      <w:pPr/>
      <w:r>
        <w:rPr>
          <w:b/>
          <w:bCs/>
        </w:rPr>
        <w:t xml:space="preserve">Description</w:t>
      </w:r>
    </w:p>
    <w:p>
      <w:pPr/>
      <w:r>
        <w:rPr/>
        <w:t xml:space="preserve">Mise en œuvre ITE : Il sera précisé sur les schémas de mise en œuvre ITE que l'ETICS devra être conforme au guide de préconisation "Protection contre l’incendie des façades béton ou maçonnerie revêtues de systèmes d’isolation thermique extérieure par enduit sur polystyrène expansé (ETICS-PSE)" d'avril 2016.</w:t>
      </w:r>
    </w:p>
    <w:p>
      <w:pPr>
        <w:ind w:left="720" w:right="0"/>
      </w:pPr>
      <w:r>
        <w:rPr>
          <w:rStyle w:val="font_h2"/>
        </w:rPr>
        <w:t xml:space="preserve">6.7. 2017 (12) Risques sismiques</w:t>
      </w:r>
    </w:p>
    <w:p>
      <w:pPr/>
      <w:r>
        <w:rPr/>
        <w:t xml:space="preserve">Validé par le Groupe Spécialisé le 02/01/2018</w:t>
      </w:r>
    </w:p>
    <w:p>
      <w:pPr/>
      <w:r>
        <w:rPr>
          <w:b/>
          <w:bCs/>
        </w:rPr>
        <w:t xml:space="preserve">Description</w:t>
      </w:r>
    </w:p>
    <w:p>
      <w:pPr/>
      <w:r>
        <w:rPr/>
        <w:t xml:space="preserve">Risques sismiques : La phrase suivante sera ajoutée aux DTA :"Le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6.8. 2017 (12) Opportunité de suivi de la qualité en usine des seuils PMR</w:t>
      </w:r>
    </w:p>
    <w:p>
      <w:pPr/>
      <w:r>
        <w:rPr/>
        <w:t xml:space="preserve">Validé par le Groupe Spécialisé le 02/01/2018</w:t>
      </w:r>
    </w:p>
    <w:p>
      <w:pPr/>
      <w:r>
        <w:rPr>
          <w:b/>
          <w:bCs/>
        </w:rPr>
        <w:t xml:space="preserve">Description</w:t>
      </w:r>
    </w:p>
    <w:p>
      <w:pPr/>
      <w:r>
        <w:rPr/>
        <w:t xml:space="preserve">Opportunité de suivi de la qualité en usine des seuils PMR :Le GS6 se prononce favorablement quant à un suivi de la qualité en usine des seuils PMR mixtes (hors seuil aluminium RPT, qui font déjà l'objet d'un suivi dans le cadre de la marque NF 252).Le CSTB proposera des modalités de suivi et les critères d'acceptation des caractéristiques suivies devront être débattus en GS6.</w:t>
      </w:r>
    </w:p>
    <w:p>
      <w:pPr>
        <w:ind w:left="720" w:right="0"/>
      </w:pPr>
      <w:r>
        <w:rPr>
          <w:rStyle w:val="font_h2"/>
        </w:rPr>
        <w:t xml:space="preserve">6.9. 2018 (03) RUP et TOM</w:t>
      </w:r>
    </w:p>
    <w:p>
      <w:pPr/>
      <w:r>
        <w:rPr/>
        <w:t xml:space="preserve">Validé par le Groupe Spécialisé le 02/01/2018</w:t>
      </w:r>
    </w:p>
    <w:p>
      <w:pPr/>
      <w:r>
        <w:rPr>
          <w:b/>
          <w:bCs/>
        </w:rPr>
        <w:t xml:space="preserve">Description</w:t>
      </w:r>
    </w:p>
    <w:p>
      <w:pPr/>
      <w:r>
        <w:rPr/>
        <w:t xml:space="preserve">RUP et TOM :Le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6.10. 2018 (03) Risques de propagation du feu par la façade dans le cas des fenêtres mises en œuvre en applique extérieure</w:t>
      </w:r>
    </w:p>
    <w:p>
      <w:pPr/>
      <w:r>
        <w:rPr/>
        <w:t xml:space="preserve">Validé par le Groupe Spécialisé le 02/01/2018</w:t>
      </w:r>
    </w:p>
    <w:p>
      <w:pPr/>
      <w:r>
        <w:rPr>
          <w:b/>
          <w:bCs/>
        </w:rPr>
        <w:t xml:space="preserve">Description</w:t>
      </w:r>
    </w:p>
    <w:p>
      <w:pPr/>
      <w:r>
        <w:rPr/>
        <w:t xml:space="preserve">Risques de propagation du feu par la façade dans le cas des fenêtres mises en œuvre en applique extérieure : Dans le cas de mise en œuvre en applique extérieure, le domaine d’emploi exclura les ouvrages prévus dans les préconisations des guides « Protection contre l’incendie des façades béton ou maçonnerie revêtues de systèmes d’isolation thermique extérieure par enduit sur polystyrène expansé (ETICS-PSE) – avril 2016 » et « Protection contre l’incendie des façades béton ou maçonnerie revêtues de systèmes d’isolation thermique extérieure par bardage rapporté ventilé – Septembre 2017». Cette limitation du domaine d’emploi pourra être levée si le système de fenêtre bénéficie d’un Avis de Laboratoire explicitant clairement les conditions d’emploi ou si les préconisations des guides évoluent afin de prendre en compte la mise en œuvre en applique extérieure des fenêtres.</w:t>
      </w:r>
    </w:p>
    <w:p>
      <w:pPr>
        <w:ind w:left="720" w:right="0"/>
      </w:pPr>
      <w:r>
        <w:rPr>
          <w:rStyle w:val="font_h2"/>
        </w:rPr>
        <w:t xml:space="preserve">6.11. 2018 (04) Dimensions des calfeutrements</w:t>
      </w:r>
    </w:p>
    <w:p>
      <w:pPr/>
      <w:r>
        <w:rPr/>
        <w:t xml:space="preserve">Validé par le Groupe Spécialisé le 25/04/2018</w:t>
      </w:r>
    </w:p>
    <w:p>
      <w:pPr/>
      <w:r>
        <w:rPr>
          <w:b/>
          <w:bCs/>
        </w:rPr>
        <w:t xml:space="preserve">Description</w:t>
      </w:r>
    </w:p>
    <w:p>
      <w:pPr/>
      <w:r>
        <w:rPr/>
        <w:t xml:space="preserve">Modification de la jurisprudence de 2013 (06).En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Une dimension inférieure, même avec limitation du domaine d’emploi n’est pas acceptable, car peu réaliste vis-à-vis des conditions de chantier. Cette jurisprudence s’appliquera pour les nouveaux DTA.Il conviendra de publier les plans de mise en œuvre dans le cas suivant :</w:t>
      </w:r>
    </w:p>
    <w:p>
      <w:pPr>
        <w:pPr/>
        <w:numPr>
          <w:ilvl w:val="0"/>
          <w:numId w:val="10"/>
        </w:numPr>
      </w:pPr>
      <w:r>
        <w:rPr/>
        <w:t xml:space="preserve">Un profilé complémentaire est nécessaire afin de réaliser une zone de calfeutrement d'au moins 10 mm</w:t>
      </w:r>
    </w:p>
    <w:p>
      <w:pPr>
        <w:ind w:left="720" w:right="0"/>
      </w:pPr>
      <w:r>
        <w:rPr>
          <w:rStyle w:val="font_h2"/>
        </w:rPr>
        <w:t xml:space="preserve">6.12. 2018 (04) Systèmes de fenêtre comportant des éléments de menuiserie sans rupture thermique et/ou avec risque de condensation</w:t>
      </w:r>
    </w:p>
    <w:p>
      <w:pPr/>
      <w:r>
        <w:rPr/>
        <w:t xml:space="preserve">Validé par le Groupe Spécialisé le 25/04/2018</w:t>
      </w:r>
    </w:p>
    <w:p>
      <w:pPr/>
      <w:r>
        <w:rPr>
          <w:b/>
          <w:bCs/>
        </w:rPr>
        <w:t xml:space="preserve">Description</w:t>
      </w:r>
    </w:p>
    <w:p>
      <w:pPr/>
      <w:r>
        <w:rPr/>
        <w:t xml:space="preserve">Systèmes de fenêtre comportant des éléments de menuiserie sans rupture thermique et/ou avec risque de condensation :</w:t>
      </w:r>
    </w:p>
    <w:p>
      <w:pPr/>
      <w:r>
        <w:rPr/>
        <w:t xml:space="preserve">Le GS6 a analysé différents cas et conclue que les dispositions suivantes ne seront plus acceptées sans des justifications hygro-thermiques spécifiques :</w:t>
      </w:r>
    </w:p>
    <w:p>
      <w:pPr>
        <w:pPr/>
        <w:numPr>
          <w:ilvl w:val="0"/>
          <w:numId w:val="11"/>
        </w:numPr>
      </w:pPr>
      <w:r>
        <w:rPr/>
        <w:t xml:space="preserve">Seuils aluminium sans rupteur thermique</w:t>
      </w:r>
    </w:p>
    <w:p>
      <w:pPr>
        <w:pPr/>
        <w:numPr>
          <w:ilvl w:val="0"/>
          <w:numId w:val="11"/>
        </w:numPr>
      </w:pPr>
      <w:r>
        <w:rPr/>
        <w:t xml:space="preserve">Chicanes de coulissant sans rupteur thermique</w:t>
      </w:r>
    </w:p>
    <w:p>
      <w:pPr>
        <w:pPr/>
        <w:numPr>
          <w:ilvl w:val="0"/>
          <w:numId w:val="11"/>
        </w:numPr>
      </w:pPr>
      <w:r>
        <w:rPr/>
        <w:t xml:space="preserve">Poignée de manœuvre traversante sans rupteur thermique</w:t>
      </w:r>
    </w:p>
    <w:p>
      <w:pPr>
        <w:pPr/>
        <w:numPr>
          <w:ilvl w:val="0"/>
          <w:numId w:val="11"/>
        </w:numPr>
      </w:pPr>
      <w:r>
        <w:rPr/>
        <w:t xml:space="preserve">Profilé d'ouvrant sans rupteur thermique en contact directe avec le battement extérieur métallique</w:t>
      </w:r>
    </w:p>
    <w:p>
      <w:pPr>
        <w:pPr/>
        <w:numPr>
          <w:ilvl w:val="0"/>
          <w:numId w:val="11"/>
        </w:numPr>
      </w:pPr>
      <w:r>
        <w:rPr/>
        <w:t xml:space="preserve">Profilé de coffre traversant sans rupteur thermique</w:t>
      </w:r>
    </w:p>
    <w:p>
      <w:pPr>
        <w:ind w:left="720" w:right="0"/>
      </w:pPr>
      <w:r>
        <w:rPr>
          <w:rStyle w:val="font_h2"/>
        </w:rPr>
        <w:t xml:space="preserve">6.13. 2018 (10) Calfeutrement sur barrette pour coupure thermique</w:t>
      </w:r>
    </w:p>
    <w:p>
      <w:pPr/>
      <w:r>
        <w:rPr/>
        <w:t xml:space="preserve">Validé par le Groupe Spécialisé le 13/12/2018</w:t>
      </w:r>
    </w:p>
    <w:p>
      <w:pPr/>
      <w:r>
        <w:rPr>
          <w:b/>
          <w:bCs/>
        </w:rPr>
        <w:t xml:space="preserve">Description</w:t>
      </w:r>
    </w:p>
    <w:p>
      <w:pPr/>
      <w:r>
        <w:rPr/>
        <w:t xml:space="preserve">La jurisprudence proposée lors du dernier GS6 est modifiée comme suit :"Lorsque le calfeutrement avec mastic est effectué sur des barrettes pour coupure thermique, celles-ci doivent être brutes (pas sur le laquage) sauf justification particulière".</w:t>
      </w:r>
    </w:p>
    <w:p>
      <w:pPr>
        <w:ind w:left="720" w:right="0"/>
      </w:pPr>
      <w:r>
        <w:rPr>
          <w:rStyle w:val="font_h2"/>
        </w:rPr>
        <w:t xml:space="preserve">6.14. 2018 (10) Garnitures d’étanchéité</w:t>
      </w:r>
    </w:p>
    <w:p>
      <w:pPr/>
      <w:r>
        <w:rPr/>
        <w:t xml:space="preserve">Validé par le Groupe Spécialisé le 13/12/2018</w:t>
      </w:r>
    </w:p>
    <w:p>
      <w:pPr/>
      <w:r>
        <w:rPr>
          <w:b/>
          <w:bCs/>
        </w:rPr>
        <w:t xml:space="preserve">Description</w:t>
      </w:r>
    </w:p>
    <w:p>
      <w:pPr/>
      <w:r>
        <w:rPr/>
        <w:t xml:space="preserve">Pour toutes les gammes, existantes ou nouvelles, les tolérances n’apparaîtront pas dans le DTA publié. Dans le cas où le recouvrement de l’ouvrant ou du dormant par la garniture du plan d'étanchéité principal est inférieur à 5 mm, il conviendra de fournir des justifications complémentaires (ex. : essai d’étanchéité à l’eau sans tout ou partie de la garniture du plan principal d’étanchéité).</w:t>
      </w:r>
    </w:p>
    <w:p>
      <w:pPr>
        <w:ind w:left="720" w:right="0"/>
      </w:pPr>
      <w:r>
        <w:rPr>
          <w:rStyle w:val="font_h2"/>
        </w:rPr>
        <w:t xml:space="preserve">6.15. 2018 (10) Système respirant</w:t>
      </w:r>
    </w:p>
    <w:p>
      <w:pPr/>
      <w:r>
        <w:rPr/>
        <w:t xml:space="preserve">Validé par le Groupe Spécialisé le 13/12/2018</w:t>
      </w:r>
    </w:p>
    <w:p>
      <w:pPr/>
      <w:r>
        <w:rPr>
          <w:b/>
          <w:bCs/>
        </w:rPr>
        <w:t xml:space="preserve">Description</w:t>
      </w:r>
    </w:p>
    <w:p>
      <w:pPr/>
      <w:r>
        <w:rPr/>
        <w:t xml:space="preserve">Dans le cas des systèmes respirants, les prescriptions techniques devront présenter un paragraphe limitant l’utilisation du système à une masse de vantail maximum.</w:t>
      </w:r>
    </w:p>
    <w:p>
      <w:pPr>
        <w:ind w:left="720" w:right="0"/>
      </w:pPr>
      <w:r>
        <w:rPr>
          <w:rStyle w:val="font_h2"/>
        </w:rPr>
        <w:t xml:space="preserve">6.16. 2018 (10) Conditions de mise en œuvre</w:t>
      </w:r>
    </w:p>
    <w:p>
      <w:pPr/>
      <w:r>
        <w:rPr/>
        <w:t xml:space="preserve">Validé par le Groupe Spécialisé le 13/12/2018</w:t>
      </w:r>
    </w:p>
    <w:p>
      <w:pPr/>
      <w:r>
        <w:rPr>
          <w:b/>
          <w:bCs/>
        </w:rPr>
        <w:t xml:space="preserve">Description</w:t>
      </w:r>
    </w:p>
    <w:p>
      <w:pPr/>
      <w:r>
        <w:rPr/>
        <w:t xml:space="preserve">Dans le paragraphe « conditions de mise en œuvre », le nouveau texte type devient :« Certaines configurations de fenêtres oscillo-battantes ou à soufflet (dimensions, poids de vitrages, positionnement poignée, …) peuvent conduire à un effort d’amorçage de fermeture de la position soufflet du vantail supérieure à 100N. » (Suppression de « sauf dispositions particulières »).</w:t>
      </w:r>
    </w:p>
    <w:p>
      <w:pPr>
        <w:ind w:left="720" w:right="0"/>
      </w:pPr>
      <w:r>
        <w:rPr>
          <w:rStyle w:val="font_h2"/>
        </w:rPr>
        <w:t xml:space="preserve">6.17.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6.18.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6.19. 2019 (04) Conditions de dérogations du FD DTU 39 P5</w:t>
      </w:r>
    </w:p>
    <w:p>
      <w:pPr/>
      <w:r>
        <w:rPr/>
        <w:t xml:space="preserve">Validé par le Groupe Spécialisé le 11/04/2019</w:t>
      </w:r>
    </w:p>
    <w:p>
      <w:pPr/>
      <w:r>
        <w:rPr>
          <w:b/>
          <w:bCs/>
        </w:rPr>
        <w:t xml:space="preserve">Description</w:t>
      </w:r>
    </w:p>
    <w:p>
      <w:pPr/>
      <w:r>
        <w:rPr/>
        <w:t xml:space="preserve">Conditions de dérogations possibles au tableau 1 du FD DTU 39 P5 pour la hauteur minimale de prise en feuillure de 15 mm sur seulement 3 côtés.</w:t>
      </w:r>
    </w:p>
    <w:p>
      <w:pPr/>
      <w:r>
        <w:rPr/>
        <w:t xml:space="preserve">Il pourra être utilisé le principe du tableau 1 du FP DTU 39 P5, pour des fenêtres comportant une traverse intermédiaire avec une prise en feuillure inférieure à 15 mm si des essais satisfaisants ont été menés dans le cadre de l’instruction de la demande de DTA du système de fenêtre.</w:t>
      </w:r>
    </w:p>
    <w:p>
      <w:pPr>
        <w:ind w:left="720" w:right="0"/>
      </w:pPr>
      <w:r>
        <w:rPr>
          <w:rStyle w:val="font_h2"/>
        </w:rPr>
        <w:t xml:space="preserve">6.20. 2019 (10) Largeur de passage des portes-fenêtres 1 vantail équipées d’un dispositif PMR</w:t>
      </w:r>
    </w:p>
    <w:p>
      <w:pPr/>
      <w:r>
        <w:rPr/>
        <w:t xml:space="preserve">Validé par le Groupe Spécialisé le 17/10/2019</w:t>
      </w:r>
    </w:p>
    <w:p>
      <w:pPr/>
      <w:r>
        <w:rPr>
          <w:b/>
          <w:bCs/>
        </w:rPr>
        <w:t xml:space="preserve">Description</w:t>
      </w:r>
    </w:p>
    <w:p>
      <w:pPr/>
      <w:r>
        <w:rPr/>
        <w:t xml:space="preserve">Afin d’être cohérent avec la réglementation concernant l’accès des handicapés aux balcons, terrasses et loggias, la largeur maximale (tableau) passe de 0,80m à 1,00m pour les systèmes de fenêtres PVC à 1 vantail.</w:t>
      </w:r>
    </w:p>
    <w:p>
      <w:pPr>
        <w:ind w:left="720" w:right="0"/>
      </w:pPr>
      <w:r>
        <w:rPr>
          <w:rStyle w:val="font_h2"/>
        </w:rPr>
        <w:t xml:space="preserve">6.21. 2020 (02) Prise en feuillure du vitrage pour assurer la sécurité aux chutes des personnes</w:t>
      </w:r>
    </w:p>
    <w:p>
      <w:pPr/>
      <w:r>
        <w:rPr/>
        <w:t xml:space="preserve">Validé par le Groupe Spécialisé le 25/06/2020</w:t>
      </w:r>
    </w:p>
    <w:p>
      <w:pPr/>
      <w:r>
        <w:rPr>
          <w:b/>
          <w:bCs/>
        </w:rPr>
        <w:t xml:space="preserve">Description</w:t>
      </w:r>
    </w:p>
    <w:p>
      <w:pPr/>
      <w:r>
        <w:rPr/>
        <w:t xml:space="preserve">Après analyse de l’évolution du DTU 39 P5 en séance, le GS6 conserve la jurisprudence de juin 2015 concernant la sécurité aux chutes des personnes nommée ci-après :« 2015 (06) Prise en feuillure des vitrages intervenant dans la sécurité aux chutes des personnes »Lorsque les feuillures d’ouvrant ou dormant ne répondent pas aux exigences du DTU 39 P5 § 4.2.3 , la remarque suivante, sera ajoutée au § 2.1 Domaine d’emploi accepté de la partie Avis du DTA : « Le système tel que décrit dans le Dossier Technique ne répond pas aux exigences du DTU 39 P5 § 4.2.3, vis-à-vis de la sécurité aux chutes des personnes. ».</w:t>
      </w:r>
    </w:p>
    <w:p>
      <w:pPr>
        <w:ind w:left="720" w:right="0"/>
      </w:pPr>
      <w:r>
        <w:rPr>
          <w:rStyle w:val="font_h2"/>
        </w:rPr>
        <w:t xml:space="preserve">6.22. 2020 (02) Système ne disposant pas de solution d’entrée d’air</w:t>
      </w:r>
    </w:p>
    <w:p>
      <w:pPr/>
      <w:r>
        <w:rPr/>
        <w:t xml:space="preserve">Validé par le Groupe Spécialisé le 25/06/2020</w:t>
      </w:r>
    </w:p>
    <w:p>
      <w:pPr/>
      <w:r>
        <w:rPr>
          <w:b/>
          <w:bCs/>
        </w:rPr>
        <w:t xml:space="preserve">Description</w:t>
      </w:r>
    </w:p>
    <w:p>
      <w:pPr/>
      <w:r>
        <w:rPr/>
        <w:t xml:space="preserve">Lorsque le système ne dispose pas de solution d’entrée d’air, il devra être indiqué dans le paragraphe domaine d’emploi de la partie Avis et dans les remarques complémentaires du GS la phrase suivante : « Les pièces principales d’habitation et d’hébergement doivent être munies d’entrées d’air ou d’un dispositif de ventilation double flux pour que les fenêtres et portes-fenêtres puissent y être installées ».</w:t>
      </w:r>
    </w:p>
    <w:p>
      <w:pPr>
        <w:ind w:left="720" w:right="0"/>
      </w:pPr>
      <w:r>
        <w:rPr>
          <w:rStyle w:val="font_h2"/>
        </w:rPr>
        <w:t xml:space="preserve">6.23. 2020 (02) Présentation des premières conclusions du groupe de travail sur la simplification des DTA</w:t>
      </w:r>
    </w:p>
    <w:p>
      <w:pPr/>
      <w:r>
        <w:rPr/>
        <w:t xml:space="preserve">Validé par le Groupe Spécialisé le 25/06/2020</w:t>
      </w:r>
    </w:p>
    <w:p>
      <w:pPr/>
      <w:r>
        <w:rPr>
          <w:b/>
          <w:bCs/>
        </w:rPr>
        <w:t xml:space="preserve">Description</w:t>
      </w:r>
    </w:p>
    <w:p>
      <w:pPr/>
      <w:r>
        <w:rPr/>
        <w:t xml:space="preserve">Performances thermo-optiques : validé par le GS. </w:t>
      </w:r>
    </w:p>
    <w:p>
      <w:pPr>
        <w:pPr/>
        <w:numPr>
          <w:ilvl w:val="0"/>
          <w:numId w:val="12"/>
        </w:numPr>
      </w:pPr>
      <w:r>
        <w:rPr/>
        <w:t xml:space="preserve">Suppression des paragraphes a) à d2) remplacés par la phrase : « Les performances thermo-optiques du système ont fait l’objet d’une évaluation notament au regard de la RT existante à partir des calculs thermiques cités au paragraphe B Résultats expérimentaux. ».</w:t>
      </w:r>
    </w:p>
    <w:p>
      <w:pPr>
        <w:pPr/>
        <w:numPr>
          <w:ilvl w:val="0"/>
          <w:numId w:val="12"/>
        </w:numPr>
      </w:pPr>
      <w:r>
        <w:rPr/>
        <w:t xml:space="preserve">Suppression des tableaux thermiques renvoyés vers le rapport de calculs thermiques attestés conformes au DTA, cité au paragraphe B Résultats expérimentaux.</w:t>
      </w:r>
    </w:p>
    <w:p>
      <w:pPr>
        <w:pPr/>
        <w:numPr>
          <w:ilvl w:val="0"/>
          <w:numId w:val="12"/>
        </w:numPr>
      </w:pPr>
      <w:r>
        <w:rPr/>
        <w:t xml:space="preserve">Le rapport de calculs thermiques cité au paragraphe B Résultats expérimentaux devra obligatoirement contenir au minimum les mêmes configurations que celles demandées actuellement dans le DTA.</w:t>
      </w:r>
    </w:p>
    <w:p>
      <w:pPr>
        <w:pPr/>
        <w:numPr>
          <w:ilvl w:val="0"/>
          <w:numId w:val="12"/>
        </w:numPr>
      </w:pPr>
      <w:r>
        <w:rPr/>
        <w:t xml:space="preserve">Conformément à la présentation qui en avait été faite en séance, la simplification des performances thermo-optiques ne concerne pas les DTA des fenêtres de toit.</w:t>
      </w:r>
    </w:p>
    <w:p>
      <w:pPr/>
      <w:r>
        <w:rPr/>
        <w:t xml:space="preserve">Mises en œuvre (MEO) : le GS valide le fait de ne publier que les MEO qui sont hors NF DTU 36.5 et hors cahier 3709_V2.</w:t>
      </w:r>
    </w:p>
    <w:p>
      <w:pPr/>
      <w:r>
        <w:rPr/>
        <w:t xml:space="preserve">Simplification des informations des composants : seules les dispositions suivantes ont été validées :</w:t>
      </w:r>
    </w:p>
    <w:p>
      <w:pPr>
        <w:pPr/>
        <w:numPr>
          <w:ilvl w:val="0"/>
          <w:numId w:val="13"/>
        </w:numPr>
      </w:pPr>
      <w:r>
        <w:rPr/>
        <w:t xml:space="preserve">Profilés PVC : suppression du lieu d’extrusion dans le cas des profilés NF126 ;</w:t>
      </w:r>
    </w:p>
    <w:p>
      <w:pPr>
        <w:pPr/>
        <w:numPr>
          <w:ilvl w:val="0"/>
          <w:numId w:val="13"/>
        </w:numPr>
      </w:pPr>
      <w:r>
        <w:rPr/>
        <w:t xml:space="preserve">Profilés aluminium RPT : dans le cas des profilés QB49 suppression du lieu d’extrusion des demi-coquilles, de sertissage et du fournisseur de barrettes.</w:t>
      </w:r>
    </w:p>
    <w:p>
      <w:pPr/>
      <w:r>
        <w:rPr/>
        <w:t xml:space="preserve">Demande de création d’une prestation pour évolutions mineures : validée par le GS, cette prestation concernera uniquement la liste exhaustive des éléments indiqués sur la liste fournie en annexe. Cette nouvelle prestation fera l’objet d’une demande de validation auprès de la CCFAT.</w:t>
      </w:r>
    </w:p>
    <w:p>
      <w:pPr>
        <w:ind w:left="720" w:right="0"/>
      </w:pPr>
      <w:r>
        <w:rPr>
          <w:rStyle w:val="font_h2"/>
        </w:rPr>
        <w:t xml:space="preserve">6.24.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14"/>
        </w:numPr>
      </w:pPr>
      <w:r>
        <w:rPr/>
        <w:t xml:space="preserve">la pièce 3D soit géométriquement identique à la pièce finale,</w:t>
      </w:r>
    </w:p>
    <w:p>
      <w:pPr>
        <w:pPr/>
        <w:numPr>
          <w:ilvl w:val="0"/>
          <w:numId w:val="14"/>
        </w:numPr>
      </w:pPr>
      <w:r>
        <w:rPr/>
        <w:t xml:space="preserve">une date de mise à disposition de la pièce finale soit arrêtée,</w:t>
      </w:r>
    </w:p>
    <w:p>
      <w:pPr>
        <w:pPr/>
        <w:numPr>
          <w:ilvl w:val="0"/>
          <w:numId w:val="14"/>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6.25. 2020 (09) Présentation des résultats d’étude thermique</w:t>
      </w:r>
    </w:p>
    <w:p>
      <w:pPr/>
      <w:r>
        <w:rPr/>
        <w:t xml:space="preserve">Validé par le Groupe Spécialisé le 29/10/2020</w:t>
      </w:r>
    </w:p>
    <w:p>
      <w:pPr/>
      <w:r>
        <w:rPr>
          <w:b/>
          <w:bCs/>
        </w:rPr>
        <w:t xml:space="preserve">Description</w:t>
      </w:r>
    </w:p>
    <w:p>
      <w:pPr/>
      <w:r>
        <w:rPr/>
        <w:t xml:space="preserve">Le tableau des valeurs thermique des Uw sera présenté au GS6 lors de la présentation du dossier mais ne sera pas publié (présent dans le rapport d’étude thermique du demandeur).</w:t>
      </w:r>
    </w:p>
    <w:p>
      <w:pPr>
        <w:ind w:left="720" w:right="0"/>
      </w:pPr>
      <w:r>
        <w:rPr>
          <w:rStyle w:val="font_h2"/>
        </w:rPr>
        <w:t xml:space="preserve">6.26. 2020 (09) Position sur les recouvrements minimums des garnitures centrales d'étanchéité</w:t>
      </w:r>
    </w:p>
    <w:p>
      <w:pPr/>
      <w:r>
        <w:rPr/>
        <w:t xml:space="preserve">Validé par le Groupe Spécialisé le 29/10/2020</w:t>
      </w:r>
    </w:p>
    <w:p>
      <w:pPr/>
      <w:r>
        <w:rPr>
          <w:b/>
          <w:bCs/>
        </w:rPr>
        <w:t xml:space="preserve">Description</w:t>
      </w:r>
    </w:p>
    <w:p>
      <w:pPr/>
      <w:r>
        <w:rPr/>
        <w:t xml:space="preserve">Le demandeur d’un système à garniture de joint central devra dorénavant justifier et garantir la présence d’une garniture de joint central ayant un recouvrement d’au moins 3 mm couplé à une garniture de joint de frappe intérieur avec un recouvrement effectif d’au moins 5 mm sur toute la périphérie.Cette jurisprudence sera appliquée pour les nouveaux dossiers à partir du 1er janvier 2022 et pour les révisions à partir du 1er janvier 2023.</w:t>
      </w:r>
    </w:p>
    <w:p>
      <w:pPr>
        <w:ind w:left="720" w:right="0"/>
      </w:pPr>
      <w:r>
        <w:rPr>
          <w:rStyle w:val="font_h2"/>
        </w:rPr>
        <w:t xml:space="preserve">6.27. 2020 (10) Fenêtres respirantes</w:t>
      </w:r>
    </w:p>
    <w:p>
      <w:pPr/>
      <w:r>
        <w:rPr/>
        <w:t xml:space="preserve">Validé par le Groupe Spécialisé le 10/12/2020</w:t>
      </w:r>
    </w:p>
    <w:p>
      <w:pPr/>
      <w:r>
        <w:rPr>
          <w:b/>
          <w:bCs/>
        </w:rPr>
        <w:t xml:space="preserve">Description</w:t>
      </w:r>
    </w:p>
    <w:p>
      <w:pPr/>
      <w:r>
        <w:rPr/>
        <w:t xml:space="preserve">Dans le paragraphe "références de chantier", le GS 06 demande que soit indiqué uniquement les références de chantier dont les fenêtres ont bénéficié d’un suivi lors de leur fabrication (" suivi fenêtre respirante »). Si cela n'est pas possible, il sera indiqué : "Le demandeur déclare n'avoir réalisé aucun chantier avec ce système depuis au moins 2 ans".</w:t>
      </w:r>
    </w:p>
    <w:p>
      <w:pPr>
        <w:ind w:left="720" w:right="0"/>
      </w:pPr>
      <w:r>
        <w:rPr>
          <w:rStyle w:val="font_h2"/>
        </w:rPr>
        <w:t xml:space="preserve">6.28. 2020 (10) Mise en œuvre en applique extérieure avec ITE</w:t>
      </w:r>
    </w:p>
    <w:p>
      <w:pPr/>
      <w:r>
        <w:rPr/>
        <w:t xml:space="preserve">Validé par le Groupe Spécialisé le 10/12/2020</w:t>
      </w:r>
    </w:p>
    <w:p>
      <w:pPr/>
      <w:r>
        <w:rPr>
          <w:b/>
          <w:bCs/>
        </w:rPr>
        <w:t xml:space="preserve">Description</w:t>
      </w:r>
    </w:p>
    <w:p>
      <w:pPr/>
      <w:r>
        <w:rPr/>
        <w:t xml:space="preserve">Le guide « Protection contre l’incendie des façades béton ou maçonnerie revêtues de systèmes d’isolation thermique extérieure par enduit sur polystyrène expansé (ETICS-PSE) » vient d'être mis à jour en septembre 2020. Il prévoit désormais les fenêtres mises en œuvre en applique extérieure.Dans le cas d’un domaine d’emploi visant la mise en œuvre en applique extérieure :</w:t>
      </w:r>
    </w:p>
    <w:p>
      <w:pPr>
        <w:pPr/>
        <w:numPr>
          <w:ilvl w:val="0"/>
          <w:numId w:val="15"/>
        </w:numPr>
      </w:pPr>
      <w:r>
        <w:rPr/>
        <w:t xml:space="preserve">Le paragraphe "domaine d'emploi" continuera à préciser que les ouvrages prévus dans les préconisations du guide « Protection contre l’incendie des façades béton ou maçonnerie revêtues de systèmes d’isolation thermique extérieure par bardage rapporté ventilé - Septembre 2017 » sont exclus.</w:t>
      </w:r>
    </w:p>
    <w:p>
      <w:pPr>
        <w:pPr/>
        <w:numPr>
          <w:ilvl w:val="0"/>
          <w:numId w:val="15"/>
        </w:numPr>
      </w:pPr>
      <w:r>
        <w:rPr/>
        <w:t xml:space="preserve">Le paragraphe "mise en œuvre" précisera que les préconisations du guides« Protection contre l’incendie des façades béton ou maçonnerie revêtues de systèmes d’isolation thermique extérieure par enduit sur polystyrène expansé (ETICS-PSE) – septembre 2020 » doivent être respectées.</w:t>
      </w:r>
    </w:p>
    <w:p>
      <w:pPr>
        <w:ind w:left="720" w:right="0"/>
      </w:pPr>
      <w:r>
        <w:rPr>
          <w:rStyle w:val="font_h2"/>
        </w:rPr>
        <w:t xml:space="preserve">6.29. 2020 (10) Charge maximum des vantaux</w:t>
      </w:r>
    </w:p>
    <w:p>
      <w:pPr/>
      <w:r>
        <w:rPr/>
        <w:t xml:space="preserve">Validé par le Groupe Spécialisé le 10/12/2020</w:t>
      </w:r>
    </w:p>
    <w:p>
      <w:pPr/>
      <w:r>
        <w:rPr>
          <w:b/>
          <w:bCs/>
        </w:rPr>
        <w:t xml:space="preserve">Description</w:t>
      </w:r>
    </w:p>
    <w:p>
      <w:pPr/>
      <w:r>
        <w:rPr/>
        <w:t xml:space="preserve">Le GS 06 demande que la charge maximum admissible par chariot, dans le cas des fenêtres coulissantes, ne soit plus indiquée.</w:t>
      </w:r>
    </w:p>
    <w:p>
      <w:pPr/>
      <w:r>
        <w:rPr/>
        <w:t xml:space="preserve">En revanche, dans la partie Avis - Prescriptions Techniques - Conditions de fabrication, il sera indiqué la masse des vantaux objet de l'essai d'endurance ouverture/fermeture et il sera précisé que pour des masses supérieures, il conviendra d'apporter des justifications : "Dans le cas de vitrages d’épaisseur de verre supérieure à xx mm ou de masse de vantail supérieure à xx kg, le fabricant devra s’assurer, par voie expérimentale, que la conception globale de la fenêtre (ferrage, profilés) permet de satisfaire aux critères mécaniques spécifiques prévus par la norme NF P 20-302, dans la limite des charges maximum prévues par la quincaillerie."</w:t>
      </w:r>
    </w:p>
    <w:p>
      <w:pPr/>
      <w:r>
        <w:rPr/>
        <w:t xml:space="preserve">Cette disposition s'applique également aux fenêtres à frappe.</w:t>
      </w:r>
    </w:p>
    <w:p>
      <w:pPr>
        <w:ind w:left="720" w:right="0"/>
      </w:pPr>
      <w:r>
        <w:rPr>
          <w:rStyle w:val="font_h2"/>
        </w:rPr>
        <w:t xml:space="preserve">6.30.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6.31. 2020 (12) Mise en œuvre ITE</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Les fenêtres doivent être mises en œuvre selon les modalités du cahier CSTB 3709 v2 de juin 2015.".</w:t>
      </w:r>
    </w:p>
    <w:p>
      <w:pPr>
        <w:ind w:left="720" w:right="0"/>
      </w:pPr>
      <w:r>
        <w:rPr>
          <w:rStyle w:val="font_h2"/>
        </w:rPr>
        <w:t xml:space="preserve">6.32. 2021 (02) Mise à jour du paragraphe « système d’étanchéité »</w:t>
      </w:r>
    </w:p>
    <w:p>
      <w:pPr/>
      <w:r>
        <w:rPr/>
        <w:t xml:space="preserve">Validé par le Groupe Spécialisé le 11/03/2021</w:t>
      </w:r>
    </w:p>
    <w:p>
      <w:pPr/>
      <w:r>
        <w:rPr>
          <w:b/>
          <w:bCs/>
        </w:rPr>
        <w:t xml:space="preserve">Description</w:t>
      </w:r>
    </w:p>
    <w:p>
      <w:pPr/>
      <w:r>
        <w:rPr/>
        <w:t xml:space="preserve">Les normes NF P 85-504 et NF EN ISO 8339 n’ont plus lieu de figurer dans le DTA.</w:t>
      </w:r>
    </w:p>
    <w:p>
      <w:pPr>
        <w:ind w:left="720" w:right="0"/>
      </w:pPr>
      <w:r>
        <w:rPr>
          <w:rStyle w:val="font_h2"/>
        </w:rPr>
        <w:t xml:space="preserve">6.33. 2021 (02) Précision concernant le risque d’usure du joint central</w:t>
      </w:r>
    </w:p>
    <w:p>
      <w:pPr/>
      <w:r>
        <w:rPr/>
        <w:t xml:space="preserve">Validé par le Groupe Spécialisé le 11/03/2021</w:t>
      </w:r>
    </w:p>
    <w:p>
      <w:pPr/>
      <w:r>
        <w:rPr>
          <w:b/>
          <w:bCs/>
        </w:rPr>
        <w:t xml:space="preserve">Description</w:t>
      </w:r>
    </w:p>
    <w:p>
      <w:pPr/>
      <w:r>
        <w:rPr/>
        <w:t xml:space="preserve">Ajout de la précision « cas des portes-fenêtres » à la jurisprudence suivante : Le joint central étant porté par le dormant, il existe un risque d’usure prématurée dans le cas des portes-fenêtres, dû au passage, pouvant entrainer des baisses de performance à l’air et à l’eau.</w:t>
      </w:r>
    </w:p>
    <w:p>
      <w:pPr>
        <w:ind w:left="720" w:right="0"/>
      </w:pPr>
      <w:r>
        <w:rPr>
          <w:rStyle w:val="font_h2"/>
        </w:rPr>
        <w:t xml:space="preserve">6.34. 2021 (02) Masse des vantaux lors de l’essai d’endurance ouverture - fermeture</w:t>
      </w:r>
    </w:p>
    <w:p>
      <w:pPr/>
      <w:r>
        <w:rPr/>
        <w:t xml:space="preserve">Validé par le Groupe Spécialisé le 11/03/2021</w:t>
      </w:r>
    </w:p>
    <w:p>
      <w:pPr/>
      <w:r>
        <w:rPr>
          <w:b/>
          <w:bCs/>
        </w:rPr>
        <w:t xml:space="preserve">Description</w:t>
      </w:r>
    </w:p>
    <w:p>
      <w:pPr/>
      <w:r>
        <w:rPr/>
        <w:t xml:space="preserve">Il est décidé que la jurisprudence prise lors du GS du 29 octobre 2020 concernant la mention de la masse des vantaux objet de l'essai d'endurance ouverture/fermeture s’applique également pour les dossiers faisant l’objet d’une révision.</w:t>
      </w:r>
    </w:p>
    <w:p>
      <w:pPr>
        <w:ind w:left="720" w:right="0"/>
      </w:pPr>
      <w:r>
        <w:rPr>
          <w:rStyle w:val="font_h2"/>
        </w:rPr>
        <w:t xml:space="preserve">6.35. 2021 (03) Représentations des vitrages dans le DTED</w:t>
      </w:r>
    </w:p>
    <w:p>
      <w:pPr/>
      <w:r>
        <w:rPr/>
        <w:t xml:space="preserve">Validé par le Groupe Spécialisé le 06/05/2021</w:t>
      </w:r>
    </w:p>
    <w:p>
      <w:pPr/>
      <w:r>
        <w:rPr>
          <w:b/>
          <w:bCs/>
        </w:rPr>
        <w:t xml:space="preserve">Description</w:t>
      </w:r>
    </w:p>
    <w:p>
      <w:pPr/>
      <w:r>
        <w:rPr/>
        <w:t xml:space="preserve">Le GS6 acte que les vitrages seront systématiquement représentés avec des verres de 4 mm d’épaisseur sauf si le système ne le permet pas.Les coupes verticales seront à réalisées avec la plus grande épaisseur de vitrage et avec un verre intérieur de 4 mm d’épaisseur.</w:t>
      </w:r>
    </w:p>
    <w:p>
      <w:pPr>
        <w:ind w:left="720" w:right="0"/>
      </w:pPr>
      <w:r>
        <w:rPr>
          <w:rStyle w:val="font_h2"/>
        </w:rPr>
        <w:t xml:space="preserve">6.36. 2021 (03) Protection contre la corrosion des vis acier en contact avec l’Aluminium</w:t>
      </w:r>
    </w:p>
    <w:p>
      <w:pPr/>
      <w:r>
        <w:rPr/>
        <w:t xml:space="preserve">Validé par le Groupe Spécialisé le 06/05/2021</w:t>
      </w:r>
    </w:p>
    <w:p>
      <w:pPr/>
      <w:r>
        <w:rPr>
          <w:b/>
          <w:bCs/>
        </w:rPr>
        <w:t xml:space="preserve">Description</w:t>
      </w:r>
    </w:p>
    <w:p>
      <w:pPr/>
      <w:r>
        <w:rPr/>
        <w:t xml:space="preserve">Dans le cadre de la révision de la norme NF P23-305, le FCBA a consulté le GS6 sur le niveau de protection contre la corrosion des vis acier en contact avec l’aluminium. Le GS6 acte les protections minimales suivantes :</w:t>
      </w:r>
    </w:p>
    <w:p>
      <w:pPr>
        <w:pPr/>
        <w:numPr>
          <w:ilvl w:val="0"/>
          <w:numId w:val="16"/>
        </w:numPr>
      </w:pPr>
      <w:r>
        <w:rPr/>
        <w:t xml:space="preserve">Vis inox A2 pour la fixation d’éléments démontables.</w:t>
      </w:r>
    </w:p>
    <w:p>
      <w:pPr>
        <w:pPr/>
        <w:numPr>
          <w:ilvl w:val="0"/>
          <w:numId w:val="16"/>
        </w:numPr>
      </w:pPr>
      <w:r>
        <w:rPr/>
        <w:t xml:space="preserve">Vis zinguées de classe 4 selon la norme EN 1670 pour les éléments non démontables.</w:t>
      </w:r>
    </w:p>
    <w:p>
      <w:pPr>
        <w:ind w:left="720" w:right="0"/>
      </w:pPr>
      <w:r>
        <w:rPr>
          <w:rStyle w:val="font_h2"/>
        </w:rPr>
        <w:t xml:space="preserve">6.37. 2021 (05) Modification du paragraphe type concernant les traitements de surface</w:t>
      </w:r>
    </w:p>
    <w:p>
      <w:pPr/>
      <w:r>
        <w:rPr/>
        <w:t xml:space="preserve">Validé par le Groupe Spécialisé le 17/06/2021</w:t>
      </w:r>
    </w:p>
    <w:p>
      <w:pPr/>
      <w:r>
        <w:rPr>
          <w:b/>
          <w:bCs/>
        </w:rPr>
        <w:t xml:space="preserve">Description</w:t>
      </w:r>
    </w:p>
    <w:p>
      <w:pPr/>
      <w:r>
        <w:rPr/>
        <w:t xml:space="preserve">Le paragraphe type devient « ils font l'objet […] pour le laquage, en fonction des prescriptions de la norme NF P24-351 ».</w:t>
      </w:r>
    </w:p>
    <w:p>
      <w:pPr>
        <w:ind w:left="720" w:right="0"/>
      </w:pPr>
      <w:r>
        <w:rPr>
          <w:rStyle w:val="font_h2"/>
        </w:rPr>
        <w:t xml:space="preserve">6.38. 2021 (05) Motorisation des fenêtres</w:t>
      </w:r>
    </w:p>
    <w:p>
      <w:pPr/>
      <w:r>
        <w:rPr/>
        <w:t xml:space="preserve">Validé par le Groupe Spécialisé le 17/06/2021</w:t>
      </w:r>
    </w:p>
    <w:p>
      <w:pPr/>
      <w:r>
        <w:rPr>
          <w:b/>
          <w:bCs/>
        </w:rPr>
        <w:t xml:space="preserve">Description</w:t>
      </w:r>
    </w:p>
    <w:p>
      <w:pPr/>
      <w:r>
        <w:rPr/>
        <w:t xml:space="preserve">Le GS6 souhaite pouvoir évaluer la « motorisabilité » des systèmes (profilés dédiés, assemblages, montages, impact éventuel sur le fonctionnement et/ou les performances, …) sans se prononcer sur la sécurité ou le fonctionnement du moteur.</w:t>
      </w:r>
    </w:p>
    <w:p>
      <w:pPr/>
      <w:r>
        <w:rPr/>
        <w:t xml:space="preserve">De plus, le GS6 souhaite qu'un fabricant ne puisse se revendiquer du DTA pour une fenêtre motorisée que si celui-ci est certifié dans la cadre de sa motorisation.</w:t>
      </w:r>
    </w:p>
    <w:p>
      <w:pPr>
        <w:ind w:left="720" w:right="0"/>
      </w:pPr>
      <w:r>
        <w:rPr>
          <w:rStyle w:val="font_h2"/>
        </w:rPr>
        <w:t xml:space="preserve">6.39.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6.40.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17"/>
        </w:numPr>
      </w:pPr>
      <w:r>
        <w:rPr/>
        <w:t xml:space="preserve">label Qualimarine avec alliage qualité bâtiment selon définition du DTU 33.1 ;</w:t>
      </w:r>
    </w:p>
    <w:p>
      <w:pPr/>
      <w:r>
        <w:rPr/>
        <w:t xml:space="preserve">ou bien</w:t>
      </w:r>
    </w:p>
    <w:p>
      <w:pPr>
        <w:pPr/>
        <w:numPr>
          <w:ilvl w:val="0"/>
          <w:numId w:val="18"/>
        </w:numPr>
      </w:pPr>
      <w:r>
        <w:rPr/>
        <w:t xml:space="preserve">label Qualicoat Seaside AA1 ou AA2 minimum avec alliage qualité bâtiment selon définition du DTU 33.1.</w:t>
      </w:r>
    </w:p>
    <w:p>
      <w:pPr>
        <w:ind w:left="720" w:right="0"/>
      </w:pPr>
      <w:r>
        <w:rPr>
          <w:rStyle w:val="font_h2"/>
        </w:rPr>
        <w:t xml:space="preserve">6.41. 2021 (09) Conclusions du groupe de travail sur la dimension du recouvrement des systèmes à joints centraux</w:t>
      </w:r>
    </w:p>
    <w:p>
      <w:pPr/>
      <w:r>
        <w:rPr/>
        <w:t xml:space="preserve">Validé par le Groupe Spécialisé le 04/11/2021</w:t>
      </w:r>
    </w:p>
    <w:p>
      <w:pPr/>
      <w:r>
        <w:rPr>
          <w:b/>
          <w:bCs/>
        </w:rPr>
        <w:t xml:space="preserve">Description</w:t>
      </w:r>
    </w:p>
    <w:p>
      <w:pPr/>
      <w:r>
        <w:rPr/>
        <w:t xml:space="preserve">Sur les plans, les paramètres suivants sont mesurés en traverse basse :</w:t>
      </w:r>
    </w:p>
    <w:p>
      <w:pPr>
        <w:pPr/>
        <w:numPr>
          <w:ilvl w:val="0"/>
          <w:numId w:val="19"/>
        </w:numPr>
      </w:pPr>
      <w:r>
        <w:rPr/>
        <w:t xml:space="preserve">Rc = recouvrement nominal du joint central ;</w:t>
      </w:r>
    </w:p>
    <w:p>
      <w:pPr>
        <w:pPr/>
        <w:numPr>
          <w:ilvl w:val="0"/>
          <w:numId w:val="19"/>
        </w:numPr>
      </w:pPr>
      <w:r>
        <w:rPr/>
        <w:t xml:space="preserve">Ri = recouvrement nominal du joint de frappe intérieur (entre la partie inférieure de la contre-feuillure de l’ouvrant et la partie supérieure du dormant au niveau de la zone de frappe - voir illustration).</w:t>
      </w:r>
    </w:p>
    <w:p>
      <w:pPr/>
      <w:r>
        <w:rPr/>
        <w:t xml:space="preserve">Pour les systèmes de fenêtres à joints centraux répondant aux critères suivants, il ne sera pas nécessaire d'apporter de justifications supplémentaires par rapport à un système de fenêtre à joint de frappe intérieur :</w:t>
      </w:r>
    </w:p>
    <w:p>
      <w:pPr/>
      <w:r>
        <w:rPr/>
        <w:t xml:space="preserve">Cas 1 : Recouvrement nominal du joint central supérieur ou égale à 5 mm. (Rc ≥ 5 mm)</w:t>
      </w:r>
    </w:p>
    <w:p>
      <w:pPr/>
      <w:r>
        <w:rPr/>
        <w:t xml:space="preserve">Cas 2 : 4 ≤ Rc &lt; 5 mm</w:t>
      </w:r>
    </w:p>
    <w:p>
      <w:pPr>
        <w:pPr/>
        <w:numPr>
          <w:ilvl w:val="0"/>
          <w:numId w:val="20"/>
        </w:numPr>
      </w:pPr>
      <w:r>
        <w:rPr/>
        <w:t xml:space="preserve">Réglage possible du recouvrement ouvrant/dormant en hauteur et largeur ± 1 mm et Ri ≥ 5 mmOU</w:t>
      </w:r>
    </w:p>
    <w:p>
      <w:pPr>
        <w:pPr/>
        <w:numPr>
          <w:ilvl w:val="0"/>
          <w:numId w:val="20"/>
        </w:numPr>
      </w:pPr>
      <w:r>
        <w:rPr/>
        <w:t xml:space="preserve">Réglage possible du recouvrement ouvrant/dormant en largeur ± 1 mm et Ri ≥ 8 mm</w:t>
      </w:r>
    </w:p>
    <w:p>
      <w:pPr/>
      <w:r>
        <w:rPr/>
        <w:t xml:space="preserve">Cas 3 : 3 ≤ Rc &lt; 4 mm</w:t>
      </w:r>
    </w:p>
    <w:p>
      <w:pPr>
        <w:pPr/>
        <w:numPr>
          <w:ilvl w:val="0"/>
          <w:numId w:val="21"/>
        </w:numPr>
      </w:pPr>
      <w:r>
        <w:rPr/>
        <w:t xml:space="preserve">Réglage possible du recouvrement ouvrant/dormant en hauteur et largeur ± 2 mm et Ri ≥ 5 mmOU</w:t>
      </w:r>
    </w:p>
    <w:p>
      <w:pPr>
        <w:pPr/>
        <w:numPr>
          <w:ilvl w:val="0"/>
          <w:numId w:val="21"/>
        </w:numPr>
      </w:pPr>
      <w:r>
        <w:rPr/>
        <w:t xml:space="preserve">Réglage possible du recouvrement ouvrant/dormant en largeur ± 1 mm et Ri ≥ 8 mm</w:t>
      </w:r>
    </w:p>
    <w:p>
      <w:pPr/>
      <w:r>
        <w:rPr/>
        <w:t xml:space="preserve">Ces dispositions permettent d'assurer :</w:t>
      </w:r>
    </w:p>
    <w:p>
      <w:pPr>
        <w:pPr/>
        <w:numPr>
          <w:ilvl w:val="0"/>
          <w:numId w:val="22"/>
        </w:numPr>
      </w:pPr>
      <w:r>
        <w:rPr/>
        <w:t xml:space="preserve">Un recouvrement effectif de la garniture de joint central ≥ 3 mm en partie basse et au niveau du battement central.</w:t>
      </w:r>
    </w:p>
    <w:p>
      <w:pPr>
        <w:pPr/>
        <w:numPr>
          <w:ilvl w:val="0"/>
          <w:numId w:val="22"/>
        </w:numPr>
      </w:pPr>
      <w:r>
        <w:rPr/>
        <w:t xml:space="preserve">Un recouvrement effectif de la garniture de joint central ≥ 1 mm sur les autres côtés.</w:t>
      </w:r>
    </w:p>
    <w:p>
      <w:pPr>
        <w:pPr/>
        <w:numPr>
          <w:ilvl w:val="0"/>
          <w:numId w:val="22"/>
        </w:numPr>
      </w:pPr>
      <w:r>
        <w:rPr/>
        <w:t xml:space="preserve">Un recouvrement effectif du joint de frappe intérieur ≥ 3 mm.</w:t>
      </w:r>
    </w:p>
    <w:p>
      <w:pPr/>
      <w:r>
        <w:rPr/>
        <w:t xml:space="preserve">Lors des essais AEV sur ces systèmes, il conviendra de relever le recouvrement effectif du joint de frappe intérieur. Le DTA devra également faire figurer le recouvrement effectif minimum du joint de frappe intérieur permettant de respecter les critères sus-mentionnés.</w:t>
      </w:r>
    </w:p>
    <w:p>
      <w:pPr/>
      <w:r>
        <w:rPr>
          <w:b/>
          <w:bCs/>
        </w:rPr>
        <w:t xml:space="preserve">Illustration</w:t>
      </w:r>
    </w:p>
    <w:p>
      <w:pPr/>
      <w:r>
        <w:rPr/>
        <w:t xml:space="preserve">Illustration du Ri</w:t>
      </w:r>
    </w:p>
    <w:p>
      <w:pPr/>
      <w:r>
        <w:pict>
          <v:shape type="#_x0000_t75" style="width:128pt; height:83pt; margin-left:0pt; margin-top:0pt; mso-position-horizontal:left; mso-position-vertical:top; mso-position-horizontal-relative:char;">
            <w10:wrap type="inline"/>
            <v:imagedata r:id="rId7" o:title=""/>
          </v:shape>
        </w:pict>
      </w:r>
    </w:p>
    <w:p>
      <w:pPr>
        <w:ind w:left="720" w:right="0"/>
      </w:pPr>
      <w:r>
        <w:rPr>
          <w:rStyle w:val="font_h2"/>
        </w:rPr>
        <w:t xml:space="preserve">6.42.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 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6.43. 2021 (12) Systèmes de fenêtres respirantes</w:t>
      </w:r>
    </w:p>
    <w:p>
      <w:pPr/>
      <w:r>
        <w:rPr/>
        <w:t xml:space="preserve">Validé par le Groupe Spécialisé le 02/02/2022</w:t>
      </w:r>
    </w:p>
    <w:p>
      <w:pPr/>
      <w:r>
        <w:rPr>
          <w:b/>
          <w:bCs/>
        </w:rPr>
        <w:t xml:space="preserve">Description</w:t>
      </w:r>
    </w:p>
    <w:p>
      <w:pPr/>
      <w:r>
        <w:rPr/>
        <w:t xml:space="preserve">Dans le cas de système de fenêtre respirante, il conviendra d'indiquer dans les DTA, quelle est la classe d'accès au store (au sens du e-cahier 3677_V2) et quelles sont les limitations sur la température de la lame d'air qui en résultent (notamment dans le cas de fixe faux-ouvrant).</w:t>
      </w:r>
    </w:p>
    <w:p>
      <w:pPr>
        <w:ind w:left="720" w:right="0"/>
      </w:pPr>
      <w:r>
        <w:rPr>
          <w:rStyle w:val="font_h2"/>
        </w:rPr>
        <w:t xml:space="preserve">6.44. 2022 (02) Date et modalités d’application de la jurisprudence sur les systèmes de fenêtres à joints centraux</w:t>
      </w:r>
    </w:p>
    <w:p>
      <w:pPr/>
      <w:r>
        <w:rPr/>
        <w:t xml:space="preserve">Validé par le Groupe Spécialisé le 17/03/2022</w:t>
      </w:r>
    </w:p>
    <w:p>
      <w:pPr/>
      <w:r>
        <w:rPr>
          <w:b/>
          <w:bCs/>
        </w:rPr>
        <w:t xml:space="preserve">Description</w:t>
      </w:r>
    </w:p>
    <w:p>
      <w:pPr/>
      <w:r>
        <w:rPr/>
        <w:t xml:space="preserve">La jurisprudence, sur les systèmes de fenêtre à joints centraux, s’appliquera à partir de janvier 2023 pour toutes les nouvelles demandes et révisions de DTA.</w:t>
      </w:r>
    </w:p>
    <w:p>
      <w:pPr>
        <w:ind w:left="720" w:right="0"/>
      </w:pPr>
      <w:r>
        <w:rPr>
          <w:rStyle w:val="font_h2"/>
        </w:rPr>
        <w:t xml:space="preserve">6.45. 2022 (03) Modalités et date de mise en application du « Cahier 3376_V3 – Dispositions d’usinage des entailles destinées à recevoir les entrées d’air des profilés de fenêtres »</w:t>
      </w:r>
    </w:p>
    <w:p>
      <w:pPr/>
      <w:r>
        <w:rPr/>
        <w:t xml:space="preserve">Validé par le Groupe Spécialisé le 13/04/2022</w:t>
      </w:r>
    </w:p>
    <w:p>
      <w:pPr/>
      <w:r>
        <w:rPr>
          <w:b/>
          <w:bCs/>
        </w:rPr>
        <w:t xml:space="preserve">Description</w:t>
      </w:r>
    </w:p>
    <w:p>
      <w:pPr/>
      <w:r>
        <w:rPr/>
        <w:t xml:space="preserve">Le cahier 3376_V3 sera publié sous 15 jours. Il pourra être utilisé dès sa publication et sera à prendre en compte de manière systématique pour toutes les demandes présentées à partir du 01 janvier 2023.</w:t>
      </w:r>
    </w:p>
    <w:p>
      <w:pPr>
        <w:ind w:left="720" w:right="0"/>
      </w:pPr>
      <w:r>
        <w:rPr>
          <w:rStyle w:val="font_h2"/>
        </w:rPr>
        <w:t xml:space="preserve">6.46.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Les fenêtres utilisant ce ruban doivent rester fonctionnelles et assurer la sécurité des personnes sans celui-ci.</w:t>
      </w:r>
    </w:p>
    <w:p>
      <w:pPr/>
      <w:r>
        <w:rPr/>
        <w:t xml:space="preserve">De façon générale, pour tous les systèmes collés, le fabriquant de colle devra apporter les preuvesde son engagement à :</w:t>
      </w:r>
    </w:p>
    <w:p>
      <w:pPr>
        <w:pPr/>
        <w:numPr>
          <w:ilvl w:val="0"/>
          <w:numId w:val="23"/>
        </w:numPr>
      </w:pPr>
      <w:r>
        <w:rPr/>
        <w:t xml:space="preserve">Garantir une constance de qualité de fabrication et une constance de la composition chimique.</w:t>
      </w:r>
    </w:p>
    <w:p>
      <w:pPr>
        <w:pPr/>
        <w:numPr>
          <w:ilvl w:val="0"/>
          <w:numId w:val="23"/>
        </w:numPr>
      </w:pPr>
      <w:r>
        <w:rPr/>
        <w:t xml:space="preserve">En cas de changement, informer le CSTB de toute modification de la composition de son produit.</w:t>
      </w:r>
    </w:p>
    <w:p>
      <w:pPr>
        <w:pPr/>
        <w:numPr>
          <w:ilvl w:val="0"/>
          <w:numId w:val="23"/>
        </w:numPr>
      </w:pPr>
      <w:r>
        <w:rPr/>
        <w:t xml:space="preserve">Assurer le contrôle qualité en fabrication garantissant les performances de son produit.</w:t>
      </w:r>
    </w:p>
    <w:p>
      <w:pPr>
        <w:ind w:left="720" w:right="0"/>
      </w:pPr>
      <w:r>
        <w:rPr>
          <w:rStyle w:val="font_h2"/>
        </w:rPr>
        <w:t xml:space="preserve">6.47.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6.48. 2022 (05) Révision du cahier 3706 « Cahier des charges des seuils de portes-fenêtres et portes extérieures »</w:t>
      </w:r>
    </w:p>
    <w:p>
      <w:pPr/>
      <w:r>
        <w:rPr/>
        <w:t xml:space="preserve">Validé par le Groupe Spécialisé le 15/06/2022</w:t>
      </w:r>
    </w:p>
    <w:p>
      <w:pPr/>
      <w:r>
        <w:rPr>
          <w:b/>
          <w:bCs/>
        </w:rPr>
        <w:t xml:space="preserve">Description</w:t>
      </w:r>
    </w:p>
    <w:p>
      <w:pPr/>
      <w:r>
        <w:rPr/>
        <w:t xml:space="preserve">Le projet de cahier 3706_V2 est entériné.La version révisée du cahier sera applicable aux dossiers présentés au GS06 à partir du 1er janvier 2023 :</w:t>
      </w:r>
    </w:p>
    <w:p>
      <w:pPr>
        <w:pPr/>
        <w:numPr>
          <w:ilvl w:val="0"/>
          <w:numId w:val="24"/>
        </w:numPr>
      </w:pPr>
      <w:r>
        <w:rPr/>
        <w:t xml:space="preserve">Pour tous les nouveaux systèmes ;</w:t>
      </w:r>
    </w:p>
    <w:p>
      <w:pPr>
        <w:pPr/>
        <w:numPr>
          <w:ilvl w:val="0"/>
          <w:numId w:val="24"/>
        </w:numPr>
      </w:pPr>
      <w:r>
        <w:rPr/>
        <w:t xml:space="preserve">Aux systèmes existants (lors de leur révision) dès lors qu’une solution existante de seuil est modifiée ou qu’une nouvelle solution de seuil est ajoutée.</w:t>
      </w:r>
    </w:p>
    <w:p>
      <w:pPr>
        <w:ind w:left="720" w:right="0"/>
      </w:pPr>
      <w:r>
        <w:rPr>
          <w:rStyle w:val="font_h2"/>
        </w:rPr>
        <w:t xml:space="preserve">6.49. 2022 (10) Essai d’aquarium : valeur minimum à prendre en compte pour le cisaillement</w:t>
      </w:r>
    </w:p>
    <w:p>
      <w:pPr/>
      <w:r>
        <w:rPr/>
        <w:t xml:space="preserve">Validé par le Groupe Spécialisé le 16/11/2022</w:t>
      </w:r>
    </w:p>
    <w:p>
      <w:pPr/>
      <w:r>
        <w:rPr>
          <w:b/>
          <w:bCs/>
        </w:rPr>
        <w:t xml:space="preserve">Description</w:t>
      </w:r>
    </w:p>
    <w:p>
      <w:pPr/>
      <w:r>
        <w:rPr/>
        <w:t xml:space="preserve">Pour les profilés de dormant en traverse basse de type O, la jurisprudence indique qu'il faut réaliser un essai d’aquarium sur ce profilé avec une valeur de cisaillement à 70% de sa valeur minimum déclarée. </w:t>
      </w:r>
    </w:p>
    <w:p>
      <w:pPr/>
      <w:r>
        <w:rPr/>
        <w:t xml:space="preserve">Cette jurisprudence avait été prise en prenant en compte la perte maximum autorisée au niveau de l'essai de cisaillement après hydrolyse (notamment les seuils PMR). </w:t>
      </w:r>
    </w:p>
    <w:p>
      <w:pPr/>
      <w:r>
        <w:rPr/>
        <w:t xml:space="preserve">Cependant, pour les profilés de traverse basse de type O, certains essais de cisaillement après déversement permettent de constater une perte supérieure à 30 %. </w:t>
      </w:r>
    </w:p>
    <w:p>
      <w:pPr/>
      <w:r>
        <w:rPr/>
        <w:t xml:space="preserve">La jurisprudence reste inchangée lorsqu’il n’y a pas eu d’essai de déversement réalisé sur le profilé (typiquement le cas des seuils PMR). </w:t>
      </w:r>
    </w:p>
    <w:p>
      <w:pPr/>
      <w:r>
        <w:rPr/>
        <w:t xml:space="preserve">En revanche, lorsqu'un essai de déversement a été réalisé et que la perte lors de l'essai de cisaillement est supérieure à 30%, alors l'essai d'aquarium est à réaliser sur un profilé dont la valeur de cisaillement est inférieure ou égale à la valeur de cisaillement du profilé après déversement.</w:t>
      </w:r>
    </w:p>
    <w:p>
      <w:pPr>
        <w:ind w:left="720" w:right="0"/>
      </w:pPr>
      <w:r>
        <w:rPr>
          <w:rStyle w:val="font_h2"/>
        </w:rPr>
        <w:t xml:space="preserve">6.50. 2022 (12) Quincailleries - Paumelles</w:t>
      </w:r>
    </w:p>
    <w:p>
      <w:pPr/>
      <w:r>
        <w:rPr/>
        <w:t xml:space="preserve">Validé par le Groupe Spécialisé le 02/02/2023</w:t>
      </w:r>
    </w:p>
    <w:p>
      <w:pPr/>
      <w:r>
        <w:rPr>
          <w:b/>
          <w:bCs/>
        </w:rPr>
        <w:t xml:space="preserve">Description</w:t>
      </w:r>
    </w:p>
    <w:p>
      <w:pPr/>
      <w:r>
        <w:rPr/>
        <w:t xml:space="preserve">Le GS confirme la jurisprudence concernant les fenêtres coulissantes selon laquelle les masses maximum admissibles par chariot ne devaient pas être indiquées dans les DTA. Il décide d'étendre cette jurisprudence aux systèmes à frappe : les masses maximum admissibles par paumelle ou par la quincaillerie ne seront plus indiquées dans les DTA.</w:t>
      </w:r>
    </w:p>
    <w:p>
      <w:pPr>
        <w:ind w:left="720" w:right="0"/>
      </w:pPr>
      <w:r>
        <w:rPr>
          <w:rStyle w:val="font_h2"/>
        </w:rPr>
        <w:t xml:space="preserve">6.51.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6.52. 2023 (06) Cas des systèmes ne pouvant pas justifier d’un essai à l’eau en méthode A</w:t>
      </w:r>
    </w:p>
    <w:p>
      <w:pPr/>
      <w:r>
        <w:rPr/>
        <w:t xml:space="preserve">Validé par le Groupe Spécialisé le 14/09/2023</w:t>
      </w:r>
    </w:p>
    <w:p>
      <w:pPr/>
      <w:r>
        <w:rPr>
          <w:b/>
          <w:bCs/>
        </w:rPr>
        <w:t xml:space="preserve">Description</w:t>
      </w:r>
    </w:p>
    <w:p>
      <w:pPr/>
      <w:r>
        <w:rPr/>
        <w:t xml:space="preserve">Pour tous les systèmes de fenêtres ne pouvant justifier d’un essai à l’eau en méthode A, il sera précisé au paragraphe 1.1.2 « Ouvrages visés » : « Pour des conditions de conception conformes au paragraphe 2 « Dossier technique » : fenêtre extérieure mise en œuvre, dans les cas où la méthode A d’essai à l’eau n’est pas requise : ».</w:t>
      </w:r>
    </w:p>
    <w:p>
      <w:pPr>
        <w:ind w:left="720" w:right="0"/>
      </w:pPr>
      <w:r>
        <w:rPr>
          <w:rStyle w:val="font_h2"/>
        </w:rPr>
        <w:t xml:space="preserve">6.53. 2023 (06) Précision sur la jurisprudence concernant la dimension minimum de 10 mm de surface plane pour le calfeutrement au dos des dormants pour les nouveaux systèmes</w:t>
      </w:r>
    </w:p>
    <w:p>
      <w:pPr/>
      <w:r>
        <w:rPr/>
        <w:t xml:space="preserve">Validé par le Groupe Spécialisé le 14/09/2023</w:t>
      </w:r>
    </w:p>
    <w:p>
      <w:pPr/>
      <w:r>
        <w:rPr>
          <w:b/>
          <w:bCs/>
        </w:rPr>
        <w:t xml:space="preserve">Description</w:t>
      </w:r>
    </w:p>
    <w:p>
      <w:pPr/>
      <w:r>
        <w:rPr/>
        <w:t xml:space="preserve">Le GS6 précise la jurisprudence d’avril 2018 sur la dimension des calfeutrements : 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(éventuellement à l’aide d’un profil complémentaire monté d’usine). Une dimension inférieure, même avec limitation du domaine d’emploi n’est pas acceptable, car peu réaliste vis-à-vis des conditions de chantier. Cette jurisprudence s’applique à tous les DTA. Dans le cas où un profilé complémentaire monté d’usine est nécessaire, il conviendra de publier un plan indiquant clairement la façon dont il est assemblé.</w:t>
      </w:r>
    </w:p>
    <w:p>
      <w:pPr>
        <w:ind w:left="720" w:right="0"/>
      </w:pPr>
      <w:r>
        <w:rPr>
          <w:rStyle w:val="font_h2"/>
        </w:rPr>
        <w:t xml:space="preserve">6.54. 2023 (06) Règles sismiques pour les fenêtres fixées sur deux côtés ou en bandes filantes</w:t>
      </w:r>
    </w:p>
    <w:p>
      <w:pPr/>
      <w:r>
        <w:rPr/>
        <w:t xml:space="preserve">Validé par le Groupe Spécialisé le 14/09/2023</w:t>
      </w:r>
    </w:p>
    <w:p>
      <w:pPr/>
      <w:r>
        <w:rPr>
          <w:b/>
          <w:bCs/>
        </w:rPr>
        <w:t xml:space="preserve">Description</w:t>
      </w:r>
    </w:p>
    <w:p>
      <w:pPr/>
      <w:r>
        <w:rPr/>
        <w:t xml:space="preserve">La jurisprudence actuelle prévoie que la phrase suivante soit indiquée dans les DTA au paragraphe « Pose en zone sismique » : « Le présent système ne présentant pas d'éléments de remplissage supérieurs à 4 m², il n'y a pas lieu d'apporter de justifications particulières (conformément au « Guide de dimensionnement parasismique des élément non structuraux du cadre bâti » de septembre 2014). ».</w:t>
      </w:r>
    </w:p>
    <w:p>
      <w:pPr/>
      <w:r>
        <w:rPr/>
        <w:t xml:space="preserve">Le GS6 souhaite que cette phrase soit modifiée comme suit : « Le présent système ne présentant pas d’éléments de remplissage supérieurs à 4 m² et ne prévoyant pas de disposition de mise en œuvre en bande filante, il n'y a pas lieu d'apporter de justifications particulières (conformément au « Guide de dimensionnement parasismique des élément non structuraux du cadre bâti » de septembre 2014). ». Dans les cas où un système de fenêtre prévoit des dispositions de mise en œuvre en bande filante, ou une fixation particulière il y aura lieu d’examiner les justifications particulières (par exemple des justifications conformes à la fiche technique n°49).</w:t>
      </w:r>
    </w:p>
    <w:p>
      <w:pPr>
        <w:ind w:left="720" w:right="0"/>
      </w:pPr>
      <w:r>
        <w:rPr>
          <w:rStyle w:val="font_h2"/>
        </w:rPr>
        <w:t xml:space="preserve">6.55. 2023 (11) Fixation des bavettes</w:t>
      </w:r>
    </w:p>
    <w:p>
      <w:pPr/>
      <w:r>
        <w:rPr/>
        <w:t xml:space="preserve">Validé par le Groupe Spécialisé le 14/12/2023</w:t>
      </w:r>
    </w:p>
    <w:p>
      <w:pPr/>
      <w:r>
        <w:rPr>
          <w:b/>
          <w:bCs/>
        </w:rPr>
        <w:t xml:space="preserve">Description</w:t>
      </w:r>
    </w:p>
    <w:p>
      <w:pPr/>
      <w:r>
        <w:rPr/>
        <w:t xml:space="preserve">Le GS6 souhaite limiter l’utilisation des bavettes « clippées collées » (non vissées). L’utilisation de ce mode de fixation est à réserver aux cas où la mise en place de la bavette est au lot menuiserie. Cela exclu de fait, l’utilisation de ce mode de fixation dans les cas de bavettes pour mise en œuvre ITE.</w:t>
      </w:r>
    </w:p>
    <w:p>
      <w:pPr>
        <w:ind w:left="720" w:right="0"/>
      </w:pPr>
      <w:r>
        <w:rPr>
          <w:rStyle w:val="font_h2"/>
        </w:rPr>
        <w:t xml:space="preserve">6.56. 2023 (11) Passage de type O à type C au sens de la norme NF EN 14024 (2023)</w:t>
      </w:r>
    </w:p>
    <w:p>
      <w:pPr/>
      <w:r>
        <w:rPr/>
        <w:t xml:space="preserve">Validé par le Groupe Spécialisé le 14/12/2023</w:t>
      </w:r>
    </w:p>
    <w:p>
      <w:pPr/>
      <w:r>
        <w:rPr>
          <w:b/>
          <w:bCs/>
        </w:rPr>
        <w:t xml:space="preserve">Description</w:t>
      </w:r>
    </w:p>
    <w:p>
      <w:pPr/>
      <w:r>
        <w:rPr/>
        <w:t xml:space="preserve">Au fur et à mesure des révisions, la référence au type O de certains profilés aluminium RPT sera remplacée par le type C, conformément à la norme NF EN 14024 (2023).</w:t>
      </w:r>
    </w:p>
    <w:p>
      <w:pPr>
        <w:ind w:left="720" w:right="0"/>
      </w:pPr>
      <w:r>
        <w:rPr>
          <w:rStyle w:val="font_h2"/>
        </w:rPr>
        <w:t xml:space="preserve">6.57. 2023 (11) Mise en œuvre nécessitant un profilé complémentaire</w:t>
      </w:r>
    </w:p>
    <w:p>
      <w:pPr/>
      <w:r>
        <w:rPr/>
        <w:t xml:space="preserve">Validé par le Groupe Spécialisé le 14/12/2023</w:t>
      </w:r>
    </w:p>
    <w:p>
      <w:pPr/>
      <w:r>
        <w:rPr>
          <w:b/>
          <w:bCs/>
        </w:rPr>
        <w:t xml:space="preserve">Description</w:t>
      </w:r>
    </w:p>
    <w:p>
      <w:pPr/>
      <w:r>
        <w:rPr/>
        <w:t xml:space="preserve">Lorsque la mise en œuvre d’une fenêtre (en tunnel par exemple) nécessite la mise en place au cul du dormant d’un profilé complémentaire il conviendra de : </w:t>
      </w:r>
    </w:p>
    <w:p>
      <w:pPr>
        <w:pPr/>
        <w:numPr>
          <w:ilvl w:val="0"/>
          <w:numId w:val="25"/>
        </w:numPr>
      </w:pPr>
      <w:r>
        <w:rPr/>
        <w:t xml:space="preserve">le préciser dans le paragraphe « domaine d’emploi », </w:t>
      </w:r>
    </w:p>
    <w:p>
      <w:pPr>
        <w:pPr/>
        <w:numPr>
          <w:ilvl w:val="0"/>
          <w:numId w:val="25"/>
        </w:numPr>
      </w:pPr>
      <w:r>
        <w:rPr/>
        <w:t xml:space="preserve">l’indiquer dans le paragraphe « remarques complémentaires du groupe spécialisé », </w:t>
      </w:r>
    </w:p>
    <w:p>
      <w:pPr>
        <w:pPr/>
        <w:numPr>
          <w:ilvl w:val="0"/>
          <w:numId w:val="25"/>
        </w:numPr>
      </w:pPr>
      <w:r>
        <w:rPr/>
        <w:t xml:space="preserve">présenter dans le dossier publié un schéma montrant la mise en place de ce profilé et son interaction avec le gros œuvre.</w:t>
      </w:r>
    </w:p>
    <w:p>
      <w:pPr>
        <w:ind w:left="720" w:right="0"/>
      </w:pPr>
      <w:r>
        <w:rPr>
          <w:rStyle w:val="font_h2"/>
        </w:rPr>
        <w:t xml:space="preserve">6.58.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6.59. 2023 (12) Pièce imprimée en 3D</w:t>
      </w:r>
    </w:p>
    <w:p>
      <w:pPr/>
      <w:r>
        <w:rPr/>
        <w:t xml:space="preserve">Validé par le Groupe Spécialisé le 01/02/2024</w:t>
      </w:r>
    </w:p>
    <w:p>
      <w:pPr/>
      <w:r>
        <w:rPr>
          <w:b/>
          <w:bCs/>
        </w:rPr>
        <w:t xml:space="preserve">Description</w:t>
      </w:r>
    </w:p>
    <w:p>
      <w:pPr/>
      <w:r>
        <w:rPr/>
        <w:t xml:space="preserve">En complément de la jurisprudence « 2018 (12) Pièces en impression 3D », les éléments concernés (réalisés en impression 3D) seront identifiés dans le DTA présenté en GS6 (tout comme le sont déjà les profilés métalliques RPT type C). L’identification des pièces en impression 3D ne sera pas conservée dans le dossier publié.</w:t>
      </w:r>
    </w:p>
    <w:p>
      <w:pPr>
        <w:ind w:left="720" w:right="0"/>
      </w:pPr>
      <w:r>
        <w:rPr>
          <w:rStyle w:val="font_h2"/>
        </w:rPr>
        <w:t xml:space="preserve">6.60. 2023 (12) Cas de pose PMR avec dalles sur plots</w:t>
      </w:r>
    </w:p>
    <w:p>
      <w:pPr/>
      <w:r>
        <w:rPr/>
        <w:t xml:space="preserve">Validé par le Groupe Spécialisé le 01/02/2024</w:t>
      </w:r>
    </w:p>
    <w:p>
      <w:pPr/>
      <w:r>
        <w:rPr>
          <w:b/>
          <w:bCs/>
        </w:rPr>
        <w:t xml:space="preserve">Description</w:t>
      </w:r>
    </w:p>
    <w:p>
      <w:pPr/>
      <w:r>
        <w:rPr/>
        <w:t xml:space="preserve">Dans le cas où le demandeur souhaiterait que le domaine d’emploi de son système inclus la mise en œuvre PMR avec dalles sur plots (en remplacement d’un caillebotis) il conviendra de réaliser l’essai suivant : essai E*, réalisé au CSTB, avec une plaque pleine (type contreplaqué) simulant une dalle, positionnée à 5 mm du nez du seuil PMR.</w:t>
      </w:r>
    </w:p>
    <w:p>
      <w:pPr>
        <w:ind w:left="720" w:right="0"/>
      </w:pPr>
      <w:r>
        <w:rPr>
          <w:rStyle w:val="font_h2"/>
        </w:rPr>
        <w:t xml:space="preserve">6.61. 2023 (12) Prise en feuillure des vitrages</w:t>
      </w:r>
    </w:p>
    <w:p>
      <w:pPr/>
      <w:r>
        <w:rPr/>
        <w:t xml:space="preserve">Validé par le Groupe Spécialisé le 01/02/2024</w:t>
      </w:r>
    </w:p>
    <w:p>
      <w:pPr/>
      <w:r>
        <w:rPr>
          <w:b/>
          <w:bCs/>
        </w:rPr>
        <w:t xml:space="preserve">Description</w:t>
      </w:r>
    </w:p>
    <w:p>
      <w:pPr/>
      <w:r>
        <w:rPr/>
        <w:t xml:space="preserve">La prise en feuillure minimale nécessaire pour assurer la sécurité aux chutes des personnes sera prise en compte vis-à-vis de la joue de feuillure extérieure du dormant conformément au DTU 39 mais pas par rapport à la hauteur de la parclose intérieure.</w:t>
      </w:r>
    </w:p>
    <w:p>
      <w:pPr>
        <w:ind w:left="720" w:right="0"/>
      </w:pPr>
      <w:r>
        <w:rPr>
          <w:rStyle w:val="font_h2"/>
        </w:rPr>
        <w:t xml:space="preserve">6.62. 2024 (02) Mise en œuvre sur ossature métallique dans le domaine emploi</w:t>
      </w:r>
    </w:p>
    <w:p>
      <w:pPr/>
      <w:r>
        <w:rPr/>
        <w:t xml:space="preserve">Validé par le Groupe Spécialisé le 13/03/2024</w:t>
      </w:r>
    </w:p>
    <w:p>
      <w:pPr/>
      <w:r>
        <w:rPr>
          <w:b/>
          <w:bCs/>
        </w:rPr>
        <w:t xml:space="preserve">Description</w:t>
      </w:r>
    </w:p>
    <w:p>
      <w:pPr/>
      <w:r>
        <w:rPr/>
        <w:t xml:space="preserve">Pour justifier de l’ajout de la mise en œuvre sur ossature métallique dans le domaine d’emploi de son système, le demandeur devra fournir un plan de mise en œuvre en tunnel.</w:t>
      </w:r>
    </w:p>
    <w:p>
      <w:pPr>
        <w:ind w:left="720" w:right="0"/>
      </w:pPr>
      <w:r>
        <w:rPr>
          <w:rStyle w:val="font_h2"/>
        </w:rPr>
        <w:t xml:space="preserve">6.63. 2024 (03) Traitement en fin de vie</w:t>
      </w:r>
    </w:p>
    <w:p>
      <w:pPr/>
      <w:r>
        <w:rPr/>
        <w:t xml:space="preserve">Validé par le Groupe Spécialisé le 16/05/2024</w:t>
      </w:r>
    </w:p>
    <w:p>
      <w:pPr/>
      <w:r>
        <w:rPr>
          <w:b/>
          <w:bCs/>
        </w:rPr>
        <w:t xml:space="preserve">Description</w:t>
      </w:r>
    </w:p>
    <w:p>
      <w:pPr/>
      <w:r>
        <w:rPr/>
        <w:t xml:space="preserve">A partir du GS de mai, il sera ajouté dans la trame de DTA, au paragraphe « Traitement en fin de vie », le texte suivant : « Les fenêtres déposées sur des chantiers de déconstruction ou de rénovation, peuvent être collectées au travers du réseau du point de collecte mis en place par les éco-organismes accrédités par les pouvoirs publics, dans le cadre de la filière de responsabilité élargie du producteur pour les produits et matériaux de construction du bâtiment. Les produits collectés sont ensuite orientés vers les circuits de démantèlement et de valorisation des différents matériaux constitutifs de ces produits. ».</w:t>
      </w:r>
    </w:p>
    <w:p>
      <w:pPr>
        <w:ind w:left="720" w:right="0"/>
      </w:pPr>
      <w:r>
        <w:rPr>
          <w:rStyle w:val="font_h2"/>
        </w:rPr>
        <w:t xml:space="preserve">6.64.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26"/>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26"/>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6.65. 2024 (05) Entretien des fenêtres respirantes</w:t>
      </w:r>
    </w:p>
    <w:p>
      <w:pPr/>
      <w:r>
        <w:rPr/>
        <w:t xml:space="preserve">Validé par le Groupe Spécialisé le 26/06/2024</w:t>
      </w:r>
    </w:p>
    <w:p>
      <w:pPr/>
      <w:r>
        <w:rPr>
          <w:b/>
          <w:bCs/>
        </w:rPr>
        <w:t xml:space="preserve">Description</w:t>
      </w:r>
    </w:p>
    <w:p>
      <w:pPr/>
      <w:r>
        <w:rPr/>
        <w:t xml:space="preserve">Pour les DTA de fenêtres respirantes, le GS6 souhaite que lui soient présentées les procédures de nettoyage et de remplacement des filtres. Ces procédures seront expliquées dans le paragraphe « Maintien en service du produit » du DTA publié. Cela s’applique pour les dossiers présentés à partir du 26 juin 2024.</w:t>
      </w:r>
    </w:p>
    <w:p>
      <w:pPr>
        <w:ind w:left="720" w:right="0"/>
      </w:pPr>
      <w:r>
        <w:rPr>
          <w:rStyle w:val="font_h2"/>
        </w:rPr>
        <w:t xml:space="preserve">6.66. 2024 (05) Références chantiers des fenêtres respirantes</w:t>
      </w:r>
    </w:p>
    <w:p>
      <w:pPr/>
      <w:r>
        <w:rPr/>
        <w:t xml:space="preserve">Validé par le Groupe Spécialisé le 26/06/2024</w:t>
      </w:r>
    </w:p>
    <w:p>
      <w:pPr/>
      <w:r>
        <w:rPr>
          <w:b/>
          <w:bCs/>
        </w:rPr>
        <w:t xml:space="preserve">Description</w:t>
      </w:r>
    </w:p>
    <w:p>
      <w:pPr/>
      <w:r>
        <w:rPr/>
        <w:t xml:space="preserve">Pour les DTA de fenêtres respirantes, seuls les chantiers ayant fait l’objet d’un suivi pourront être indiqués dans la partie « Références de chantiers ». Lors de chaque révision, les références de chantiers ayant eu lieu depuis la dernière révision et ayant fait l’objet d’un suivi devront être indiquées. Dans le cas où aucun chantier ayant fait l’objet d’un suivi n’a eu lieu, il sera indiqué « Le demandeur déclare n'avoir réalisé aucun chantier avec ce système depuis au moins 2 ans. ».</w:t>
      </w:r>
    </w:p>
    <w:p>
      <w:pPr>
        <w:ind w:left="720" w:right="0"/>
      </w:pPr>
      <w:r>
        <w:rPr>
          <w:rStyle w:val="font_h2"/>
        </w:rPr>
        <w:t xml:space="preserve">6.67. 2024 (05) Rédaction pour les fenêtres respirantes</w:t>
      </w:r>
    </w:p>
    <w:p>
      <w:pPr/>
      <w:r>
        <w:rPr/>
        <w:t xml:space="preserve">Validé par le Groupe Spécialisé le 26/06/2024</w:t>
      </w:r>
    </w:p>
    <w:p>
      <w:pPr/>
      <w:r>
        <w:rPr>
          <w:b/>
          <w:bCs/>
        </w:rPr>
        <w:t xml:space="preserve">Description</w:t>
      </w:r>
    </w:p>
    <w:p>
      <w:pPr/>
      <w:r>
        <w:rPr/>
        <w:t xml:space="preserve">Pour les DTA de fenêtres respirantes :</w:t>
      </w:r>
    </w:p>
    <w:p>
      <w:pPr>
        <w:pPr/>
        <w:numPr>
          <w:ilvl w:val="0"/>
          <w:numId w:val="27"/>
        </w:numPr>
      </w:pPr>
      <w:r>
        <w:rPr/>
        <w:t xml:space="preserve">l’encart spécifique en première page du DTA est complété et devient « Ne peuvent se prévaloir du présent Document Technique d’Application que les unités de fabrication bénéficiant d’un suivi par un organisme tiers conformément au e-cahier du CSTB 3759 » ;</w:t>
      </w:r>
    </w:p>
    <w:p>
      <w:pPr>
        <w:pPr/>
        <w:numPr>
          <w:ilvl w:val="0"/>
          <w:numId w:val="27"/>
        </w:numPr>
      </w:pPr>
      <w:r>
        <w:rPr/>
        <w:t xml:space="preserve">la remarque du GS6 devient « Compte tenu de la sensibilité de fabrication de ce système, seules les unités de fabrication bénéficiant d’un suivi par un organisme tiers, conformément au e-cahier du CSTB 3759, peuvent se prévaloir du présent Document Technique d’Application. La liste des unités bénéficiant d'un tel suivi peut être consultée à l'adresse suivante : </w:t>
      </w:r>
      <w:hyperlink r:id="rId8" w:history="1">
        <w:r>
          <w:rPr/>
          <w:t xml:space="preserve">https://www.ccfat.fr/produits-procedes/famille/443/</w:t>
        </w:r>
      </w:hyperlink>
      <w:r>
        <w:rPr/>
        <w:t xml:space="preserve"> ».</w:t>
      </w:r>
    </w:p>
    <w:p>
      <w:pPr>
        <w:ind w:left="720" w:right="0"/>
      </w:pPr>
      <w:r>
        <w:rPr>
          <w:rStyle w:val="font_h2"/>
        </w:rPr>
        <w:t xml:space="preserve">6.68. 2024 (06) Dispositions spécifiques aux seuils PMR</w:t>
      </w:r>
    </w:p>
    <w:p>
      <w:pPr/>
      <w:r>
        <w:rPr/>
        <w:t xml:space="preserve">Validé par le Groupe Spécialisé le 12/09/2024</w:t>
      </w:r>
    </w:p>
    <w:p>
      <w:pPr/>
      <w:r>
        <w:rPr>
          <w:b/>
          <w:bCs/>
        </w:rPr>
        <w:t xml:space="preserve">Description</w:t>
      </w:r>
    </w:p>
    <w:p>
      <w:pPr/>
      <w:r>
        <w:rPr/>
        <w:t xml:space="preserve">En partie 2.4 « Dispositions de mise en œuvre », le paragraphe « Cas des dispositions PMR » est ajouté. Celui-ci précise les cas d’utilisation, soit « Des caillebottis doivent être utilisés dans le cadre de la mise en œuvre PMR. », soit « Des caillebottis mais aussi des dalles sur plots peuvent être utilisés dans le cadre de la mise en œuvre PMR. ». Cette phrase est à adapter selon le contenu du DTA et les justifications fournies. Un essai d’étanchéité à l’eau satisfaisant avec un dispositif simulant les dalles sur plot sera nécessaire pour que cette disposition soit ajoutée à ce nouveau paragraphe.</w:t>
      </w:r>
    </w:p>
    <w:p>
      <w:pPr>
        <w:ind w:left="720" w:right="0"/>
      </w:pPr>
      <w:r>
        <w:rPr>
          <w:rStyle w:val="font_h2"/>
        </w:rPr>
        <w:t xml:space="preserve">6.69. 2024 (11) Efforts de manœuvres</w:t>
      </w:r>
    </w:p>
    <w:p>
      <w:pPr/>
      <w:r>
        <w:rPr/>
        <w:t xml:space="preserve">Validé par le Groupe Spécialisé le 19/12/2024</w:t>
      </w:r>
    </w:p>
    <w:p>
      <w:pPr/>
      <w:r>
        <w:rPr>
          <w:b/>
          <w:bCs/>
        </w:rPr>
        <w:t xml:space="preserve">Description</w:t>
      </w:r>
    </w:p>
    <w:p>
      <w:pPr/>
      <w:r>
        <w:rPr/>
        <w:t xml:space="preserve">Le GS6 estime qu’un effort de manœuvre pour l’ouverture ou la fermeture des fenêtres en position soufflet supérieur ou égal à 150 N n’est pas recevable.Pour les efforts compris entre 120 N et 150 N, le GS6 examinera les dispositions techniques au cas par cas.</w:t>
      </w:r>
    </w:p>
    <w:p>
      <w:pPr>
        <w:ind w:left="720" w:right="0"/>
      </w:pPr>
      <w:r>
        <w:rPr>
          <w:rStyle w:val="font_h2"/>
        </w:rPr>
        <w:t xml:space="preserve">6.70.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6.71. 2025 (03) Protection de la traverse haute dans le cas des bardages ventilés</w:t>
      </w:r>
    </w:p>
    <w:p>
      <w:pPr/>
      <w:r>
        <w:rPr/>
        <w:t xml:space="preserve">Validé par le Groupe Spécialisé le 15/05/2025</w:t>
      </w:r>
    </w:p>
    <w:p>
      <w:pPr/>
      <w:r>
        <w:rPr>
          <w:b/>
          <w:bCs/>
        </w:rPr>
        <w:t xml:space="preserve">Description</w:t>
      </w:r>
    </w:p>
    <w:p>
      <w:pPr/>
      <w:r>
        <w:rPr/>
        <w:t xml:space="preserve">La phrase « Dans le cas de mise en œuvre en ITE avec bardage ventilé, il y aura lieu de prévoir une protection de la traverse haute de manière systématique (de type membrane, larmier, …). » sera ajoutée systématiquement dans chapitre Dispositions de mise en œuvre, dans le paragraphe Cas de l’ITE.</w:t>
      </w:r>
    </w:p>
    <w:p>
      <w:pPr>
        <w:ind w:left="720" w:right="0"/>
      </w:pPr>
      <w:r>
        <w:rPr>
          <w:rStyle w:val="font_h2"/>
        </w:rPr>
        <w:t xml:space="preserve">6.72. 2025 (06) Essais d’endurance ouverture-fermeture sur porte-fenêtre OB2</w:t>
      </w:r>
    </w:p>
    <w:p>
      <w:pPr/>
      <w:r>
        <w:rPr/>
        <w:t xml:space="preserve">Validé par le Groupe Spécialisé le 18/09/2025</w:t>
      </w:r>
    </w:p>
    <w:p>
      <w:pPr/>
      <w:r>
        <w:rPr>
          <w:b/>
          <w:bCs/>
        </w:rPr>
        <w:t xml:space="preserve">Description</w:t>
      </w:r>
    </w:p>
    <w:p>
      <w:pPr/>
      <w:r>
        <w:rPr/>
        <w:t xml:space="preserve">Rappel de la jurisprudence de mars 2012 :Lorsqu'un projet de DTA comporte une porte-fenêtre OB2, un essai d'endurance ouverture/fermeture et essais mécaniques spécifiques devront être réalisés dans cette configuration.</w:t>
      </w:r>
    </w:p>
    <w:p>
      <w:pPr/>
      <w:r>
        <w:rPr/>
        <w:t xml:space="preserve">Le GS6 souhaite modifier cette jurisprudence de la manière suivante :Lorsqu'un projet de DTA comporte une porte-fenêtre OB2, un essai d'endurance ouverture/fermeture et des essais mécaniques spécifiques devront être réalisés dans cette configuration, hormis dans les cas où la gâche permettant le basculement en OB est portée sur le dormant.</w:t>
      </w:r>
    </w:p>
    <w:p>
      <w:pPr>
        <w:ind w:left="720" w:right="0"/>
      </w:pPr>
      <w:r>
        <w:rPr>
          <w:rStyle w:val="font_h2"/>
        </w:rPr>
        <w:t xml:space="preserve">6.73. 2025 (06) Réalisation de l’essai à l’eau E* avec reconstitution de dalle sur plot</w:t>
      </w:r>
    </w:p>
    <w:p>
      <w:pPr/>
      <w:r>
        <w:rPr/>
        <w:t xml:space="preserve">Validé par le Groupe Spécialisé le 18/09/2025</w:t>
      </w:r>
    </w:p>
    <w:p>
      <w:pPr/>
      <w:r>
        <w:rPr>
          <w:b/>
          <w:bCs/>
        </w:rPr>
        <w:t xml:space="preserve">Description</w:t>
      </w:r>
    </w:p>
    <w:p>
      <w:pPr/>
      <w:r>
        <w:rPr/>
        <w:t xml:space="preserve">En complément de la jurisprudence de décembre 2023 concernant la réalisation d’essais avec dalles sur plots, si revendiqué, le GS6 acte le protocole suivant : planche en contre-plaqué mise en place à 5 mm de la fenêtre avec un espace libre entre la planche et le mur du banc d’essais de 20 mm environ, des perçages de diamètre 24 mm seront réalisés tous les 500 mm.</w:t>
      </w:r>
    </w:p>
    <w:p>
      <w:pPr>
        <w:ind w:left="720" w:right="0"/>
      </w:pPr>
      <w:r>
        <w:rPr>
          <w:rStyle w:val="font_h2"/>
        </w:rPr>
        <w:t xml:space="preserve">6.74. 2025 (06) Ajout paragraphe concernant l’évaluation du risque de chute</w:t>
      </w:r>
    </w:p>
    <w:p>
      <w:pPr/>
      <w:r>
        <w:rPr/>
        <w:t xml:space="preserve">Validé par le Groupe Spécialisé le 18/09/2025</w:t>
      </w:r>
    </w:p>
    <w:p>
      <w:pPr/>
      <w:r>
        <w:rPr>
          <w:b/>
          <w:bCs/>
        </w:rPr>
        <w:t xml:space="preserve">Description</w:t>
      </w:r>
    </w:p>
    <w:p>
      <w:pPr/>
      <w:r>
        <w:rPr/>
        <w:t xml:space="preserve">Rappel de la jurisprudence de juin 2015 :Lorsque les feuillures d’ouvrant ou dormant ne répondent pas aux exigences du DTU 39 P5 § 4.2.3, la remarque suivante, sera ajoutée au § 2.1 Domaine d’emploi accepté de la partie Avis du DTA :« Le système tel que décrit dans le Dossier Technique ne répond pas aux exigences du DTU 39 P5 § 4.2.3, vis-à-vis de la sécurité aux chutes des personnes. » </w:t>
      </w:r>
    </w:p>
    <w:p>
      <w:pPr/>
      <w:r>
        <w:rPr/>
        <w:t xml:space="preserve">Cette jurisprudence est complétée de la manière suivante :Si deux essais de choc selon la NF P 08-302 (largeur mini et largeur maxi) sont réalisés dans le cadre de l’instruction, la remarque devient : « la sécurité aux chutes des personnes n’est pas évaluée dans le présent document. Il conviendra de l’’évaluer au cas par cas et de s’assurer du respect du calage du vitrage conformément au NF DTU 39 ou NF P 20-650-1 ».</w:t>
      </w:r>
    </w:p>
    <w:p>
      <w:pPr>
        <w:ind w:left="720" w:right="0"/>
      </w:pPr>
      <w:r>
        <w:rPr>
          <w:rStyle w:val="font_h2"/>
        </w:rPr>
        <w:t xml:space="preserve">6.75. 2025 (09) Classement minimum obtenu à l’essai de perméabilité à l’air sous gradient de température</w:t>
      </w:r>
    </w:p>
    <w:p>
      <w:pPr/>
      <w:r>
        <w:rPr/>
        <w:t xml:space="preserve">Validé par le Groupe Spécialisé le 16/10/2025</w:t>
      </w:r>
    </w:p>
    <w:p>
      <w:pPr/>
      <w:r>
        <w:rPr>
          <w:b/>
          <w:bCs/>
        </w:rPr>
        <w:t xml:space="preserve">Description</w:t>
      </w:r>
    </w:p>
    <w:p>
      <w:pPr/>
      <w:r>
        <w:rPr/>
        <w:t xml:space="preserve">Lors de l’essai de perméabilité sous gradient de température, les résultats suivants peuvent être obtenus : </w:t>
      </w:r>
    </w:p>
    <w:p>
      <w:pPr>
        <w:pPr/>
        <w:numPr>
          <w:ilvl w:val="0"/>
          <w:numId w:val="28"/>
        </w:numPr>
      </w:pPr>
      <w:r>
        <w:rPr/>
        <w:t xml:space="preserve">Classement A*3 : la justification est jugée recevable. </w:t>
      </w:r>
    </w:p>
    <w:p>
      <w:pPr>
        <w:pPr/>
        <w:numPr>
          <w:ilvl w:val="0"/>
          <w:numId w:val="28"/>
        </w:numPr>
      </w:pPr>
      <w:r>
        <w:rPr/>
        <w:t xml:space="preserve">Classement A*3 jusqu’à 450 Pa : la justification est présentable devant le GS6 qui jugera à dire d’experts. </w:t>
      </w:r>
    </w:p>
    <w:p>
      <w:pPr>
        <w:pPr/>
        <w:numPr>
          <w:ilvl w:val="0"/>
          <w:numId w:val="28"/>
        </w:numPr>
      </w:pPr>
      <w:r>
        <w:rPr/>
        <w:t xml:space="preserve">Classement inférieur à A*3 à 450 Pa : la justification n’est pas recevable.</w:t>
      </w:r>
    </w:p>
    <w:p>
      <w:pPr>
        <w:ind w:left="720" w:right="0"/>
      </w:pPr>
      <w:r>
        <w:rPr>
          <w:rStyle w:val="font_h2"/>
        </w:rPr>
        <w:t xml:space="preserve">6.76. 2025 (10) Protocole de maintenance des fenêtres respirantes</w:t>
      </w:r>
    </w:p>
    <w:p>
      <w:pPr/>
      <w:r>
        <w:rPr/>
        <w:t xml:space="preserve">Validé par le Groupe Spécialisé le 13/11/2025</w:t>
      </w:r>
    </w:p>
    <w:p>
      <w:pPr/>
      <w:r>
        <w:rPr>
          <w:b/>
          <w:bCs/>
        </w:rPr>
        <w:t xml:space="preserve">Description</w:t>
      </w:r>
    </w:p>
    <w:p>
      <w:pPr/>
      <w:r>
        <w:rPr/>
        <w:t xml:space="preserve">Les DTA de fenêtres respirantes devront dorénavant présenter le principe de maintenance de la partie respirante, en indiquant les contrôles, la régularité, la facilité d’accès, … </w:t>
      </w:r>
    </w:p>
    <w:p>
      <w:pPr/>
      <w:r>
        <w:rPr/>
        <w:t xml:space="preserve">Il sera ajouté au paragraphe « 2.5 Maintien en service du produit ou procédé », la maintenance prévue pour les fenêtres respirantes, dont notamment, le protocole précis de nettoyage et de changement de filtre.</w:t>
      </w:r>
    </w:p>
    <w:p>
      <w:pPr>
        <w:ind w:left="720" w:right="0"/>
      </w:pPr>
      <w:r>
        <w:rPr>
          <w:rStyle w:val="font_h2"/>
        </w:rPr>
        <w:t xml:space="preserve">6.77. 2025 (10) Couleur des stores dans les fenêtres respirantes</w:t>
      </w:r>
    </w:p>
    <w:p>
      <w:pPr/>
      <w:r>
        <w:rPr/>
        <w:t xml:space="preserve">Validé par le Groupe Spécialisé le 13/11/2025</w:t>
      </w:r>
    </w:p>
    <w:p>
      <w:pPr/>
      <w:r>
        <w:rPr>
          <w:b/>
          <w:bCs/>
        </w:rPr>
        <w:t xml:space="preserve">Description</w:t>
      </w:r>
    </w:p>
    <w:p>
      <w:pPr/>
      <w:r>
        <w:rPr/>
        <w:t xml:space="preserve">Dans les remarques complémentaires du GS, dans le cas des fenêtres respirantes, il conviendra d’ajouter la phrase suivante : « En présence d’un store de couleur foncée, une vigilance est à apporter vis à vis des températures atteintes dans la lame d’air respirante (voir paragraphe « 2.3 Dispositions de conception ») ».</w:t>
      </w:r>
    </w:p>
    <w:p>
      <w:pPr>
        <w:ind w:left="720" w:right="0"/>
      </w:pPr>
      <w:r>
        <w:rPr>
          <w:rStyle w:val="font_h2"/>
        </w:rPr>
        <w:t xml:space="preserve">6.78. 2025 (10) Intégration des vitrages simples dans les DTA</w:t>
      </w:r>
    </w:p>
    <w:p>
      <w:pPr/>
      <w:r>
        <w:rPr/>
        <w:t xml:space="preserve">Validé par le Groupe Spécialisé le 13/11/2025</w:t>
      </w:r>
    </w:p>
    <w:p>
      <w:pPr/>
      <w:r>
        <w:rPr>
          <w:b/>
          <w:bCs/>
        </w:rPr>
        <w:t xml:space="preserve">Description</w:t>
      </w:r>
    </w:p>
    <w:p>
      <w:pPr/>
      <w:r>
        <w:rPr/>
        <w:t xml:space="preserve">Plusieurs types de vitrages peuvent être revendiqués dans les DTA : </w:t>
      </w:r>
    </w:p>
    <w:p>
      <w:pPr>
        <w:pPr/>
        <w:numPr>
          <w:ilvl w:val="0"/>
          <w:numId w:val="29"/>
        </w:numPr>
      </w:pPr>
      <w:r>
        <w:rPr/>
        <w:t xml:space="preserve">les vitrages isolants doubles et/ou triples ; </w:t>
      </w:r>
    </w:p>
    <w:p>
      <w:pPr>
        <w:pPr/>
        <w:numPr>
          <w:ilvl w:val="0"/>
          <w:numId w:val="29"/>
        </w:numPr>
      </w:pPr>
      <w:r>
        <w:rPr/>
        <w:t xml:space="preserve">les vitrages isolants simples justifiant de performances thermiques (exemple : vitrages sous vide) ; </w:t>
      </w:r>
    </w:p>
    <w:p>
      <w:pPr>
        <w:pPr/>
        <w:numPr>
          <w:ilvl w:val="0"/>
          <w:numId w:val="29"/>
        </w:numPr>
      </w:pPr>
      <w:r>
        <w:rPr/>
        <w:t xml:space="preserve">les vitrages simples (non-isolant). </w:t>
      </w:r>
    </w:p>
    <w:p>
      <w:pPr/>
      <w:r>
        <w:rPr/>
        <w:t xml:space="preserve">Dans le cas des vitrages simples (non-isolant), le GS exige que le système prévoie une solution de récupération des eaux de condensation. </w:t>
      </w:r>
    </w:p>
    <w:p>
      <w:pPr/>
      <w:r>
        <w:rPr/>
        <w:t xml:space="preserve">Cependant, le GS prévoit dorénavant un cas ne nécessitant pas de récupération des eaux de condensation. </w:t>
      </w:r>
    </w:p>
    <w:p>
      <w:pPr/>
      <w:r>
        <w:rPr/>
        <w:t xml:space="preserve">Il s’agit du cas où l’utilisation des vitrages simples est exclusivement réservée à des locaux non chauffés. Dans ce cas les éléments suivants seront précisés dans le DTA : </w:t>
      </w:r>
    </w:p>
    <w:p>
      <w:pPr>
        <w:pPr/>
        <w:numPr>
          <w:ilvl w:val="0"/>
          <w:numId w:val="30"/>
        </w:numPr>
      </w:pPr>
      <w:r>
        <w:rPr/>
        <w:t xml:space="preserve">paragraphes « domaine d’emploi », « remarques du GS » et « vitrage » : une phrase complémentaire sera ajoutée, précisant que l’utilisation de vitrage simple est exclusivement réservée à des locaux non chauffés ; </w:t>
      </w:r>
    </w:p>
    <w:p>
      <w:pPr>
        <w:pPr/>
        <w:numPr>
          <w:ilvl w:val="0"/>
          <w:numId w:val="30"/>
        </w:numPr>
      </w:pPr>
      <w:r>
        <w:rPr/>
        <w:t xml:space="preserve">planches de profilés : les profilés concernés (parcloses de grande profondeur par exemple) seront identifiés par un astérisque stipulant « * : profilés réservés aux fenêtres mises en œuvre dans des pièces non chauffées ».</w:t>
      </w:r>
    </w:p>
    <w:p>
      <w:pPr>
        <w:ind w:left="720" w:right="0"/>
      </w:pPr>
      <w:r>
        <w:rPr>
          <w:rStyle w:val="font_h2"/>
        </w:rPr>
        <w:t xml:space="preserve">6.79.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p>
      <w:pPr>
        <w:ind w:left="720" w:right="0"/>
      </w:pPr>
      <w:r>
        <w:rPr>
          <w:rStyle w:val="font_h2"/>
        </w:rPr>
        <w:t xml:space="preserve">6.80. 2025 (12) Reformulation du paragraphe « Cas des dispositions PMR »</w:t>
      </w:r>
    </w:p>
    <w:p>
      <w:pPr/>
      <w:r>
        <w:rPr/>
        <w:t xml:space="preserve">Validé par le Groupe Spécialisé le 05/02/2026</w:t>
      </w:r>
    </w:p>
    <w:p>
      <w:pPr/>
      <w:r>
        <w:rPr>
          <w:b/>
          <w:bCs/>
        </w:rPr>
        <w:t xml:space="preserve">Description</w:t>
      </w:r>
    </w:p>
    <w:p>
      <w:pPr/>
      <w:r>
        <w:rPr/>
        <w:t xml:space="preserve">Dans le cas où une justification a été apportée vis à vis des systèmes sur plots, la phrase type du DTA est reformulée comme suit : « Des caillebotis mais aussi des systèmes sur plots (exemple : dalles) peuvent être utilisés dans le cadre de la mise en œuvre PMR selon le cahier du CSTB 3706_V2 (positionnés à une distance de 5 mm à 18 mm du nez de seuil) ».</w:t>
      </w:r>
    </w:p>
    <w:p>
      <w:pPr>
        <w:ind w:left="720" w:right="0"/>
      </w:pPr>
      <w:r>
        <w:rPr>
          <w:rStyle w:val="font_h2"/>
        </w:rPr>
        <w:t xml:space="preserve">6.81. 2025 (12) Eléments de preuves recevables concernant les DTA dont le domaine d'emploi couvre l'outremer (soumis à la réglementation paracyclonique)</w:t>
      </w:r>
    </w:p>
    <w:p>
      <w:pPr/>
      <w:r>
        <w:rPr/>
        <w:t xml:space="preserve">Validé par le Groupe Spécialisé le 05/02/2026</w:t>
      </w:r>
    </w:p>
    <w:p>
      <w:pPr/>
      <w:r>
        <w:rPr>
          <w:b/>
          <w:bCs/>
        </w:rPr>
        <w:t xml:space="preserve">Description</w:t>
      </w:r>
    </w:p>
    <w:p>
      <w:pPr/>
      <w:r>
        <w:rPr/>
        <w:t xml:space="preserve">Le CSTB a présenté le protocole d’essais rédigé retenu concernant la résistance aux chocs des fenêtres suite aux échanges de la dernière séance. Ce protocole est en pièce jointe du présent compte rendu et sera disponible sur le site de la CCFAT. Il est applicable à compter du 1er janvier pour tous les dossiers présentés en GS6 se revendiquant du domaine d’emploi visé.</w:t>
      </w:r>
    </w:p>
    <w:p>
      <w:pPr/>
      <w:r>
        <w:rPr/>
        <w:t xml:space="preserve">Le document « Protocole d’essai de résistance au choc des fenêtres » est disponible au lien ci-dessous.</w:t>
      </w:r>
    </w:p>
    <w:p>
      <w:pPr>
        <w:ind w:left="720" w:right="0"/>
      </w:pPr>
      <w:r>
        <w:rPr>
          <w:rStyle w:val="font_h2"/>
        </w:rPr>
        <w:t xml:space="preserve">6.82. 2026 (02) Accessibilité aux handicapés</w:t>
      </w:r>
    </w:p>
    <w:p>
      <w:pPr/>
      <w:r>
        <w:rPr/>
        <w:t xml:space="preserve">Validé par le Groupe Spécialisé le 19/03/2026</w:t>
      </w:r>
    </w:p>
    <w:p>
      <w:pPr/>
      <w:r>
        <w:rPr>
          <w:b/>
          <w:bCs/>
        </w:rPr>
        <w:t xml:space="preserve">Description</w:t>
      </w:r>
    </w:p>
    <w:p>
      <w:pPr/>
      <w:r>
        <w:rPr/>
        <w:t xml:space="preserve">Dans les cas où le seuil PMR n’incorpore pas de réservation spécifique pour le calfeutrement, le paragraphe 1.2.1.11 « Accessibilité aux handicapés » du DTA devient : « Ce système dispose d’une solution de seuil, qui sans avoir recours à une rampe amovible intérieure, pour peu qu’il soit encastré, permet l’accès aux handicapés au sens de l’arrêté du 30 novembre 2007. »</w:t>
      </w:r>
    </w:p>
    <w:p>
      <w:pPr>
        <w:ind w:left="720" w:right="0"/>
      </w:pPr>
      <w:r>
        <w:rPr>
          <w:rStyle w:val="font_h2"/>
        </w:rPr>
        <w:t xml:space="preserve">6.83. 2026 (03) Limitation du domaine d’emploi des systèmes prévoyant une mise en œuvre dans des panneaux sandwich</w:t>
      </w:r>
    </w:p>
    <w:p>
      <w:pPr/>
      <w:r>
        <w:rPr/>
        <w:t xml:space="preserve">Validé par le Groupe Spécialisé le 21/05/2026</w:t>
      </w:r>
    </w:p>
    <w:p>
      <w:pPr/>
      <w:r>
        <w:rPr>
          <w:b/>
          <w:bCs/>
        </w:rPr>
        <w:t xml:space="preserve">Description</w:t>
      </w:r>
    </w:p>
    <w:p>
      <w:pPr/>
      <w:r>
        <w:rPr/>
        <w:t xml:space="preserve">Rappel : le GS6 n’autorisait pas dans un même DTA des systèmes qui prévoyaient au domaine d’emploi une mise en œuvre sur panneaux sandwich et une mise en œuvre sur structure rigide.</w:t>
      </w:r>
    </w:p>
    <w:p>
      <w:pPr/>
      <w:r>
        <w:rPr/>
        <w:t xml:space="preserve">Le GS6 modifie sa position comme suit : le GS6 autorise dans un même DTA des systèmes qui prévoient une mise en œuvre par clippage et une mise en œuvre classique (vissage). Cela permet aux systèmes prévoyant une mise en œuvre par clippage de pouvoir revendiquer dans un même DTA le domaine d’emploi de mise en œuvre sur panneaux sandwich et sur structure rigide (sous réserve d’apporter toutes les justifications nécessaires).</w:t>
      </w:r>
    </w:p>
    <w:p>
      <w:pPr>
        <w:ind w:left="720" w:right="0"/>
      </w:pPr>
      <w:r>
        <w:rPr>
          <w:rStyle w:val="font_h2"/>
        </w:rPr>
        <w:t xml:space="preserve">6.84. 2026 (06) Opportunité d’exiger un suivi QB49 sur les profilés d’ouvrant caché avec nez en matériau composite</w:t>
      </w:r>
    </w:p>
    <w:p>
      <w:pPr>
        <w:ind w:left="720" w:right="0"/>
      </w:pPr>
      <w:r>
        <w:rPr>
          <w:rStyle w:val="font_h2"/>
        </w:rPr>
        <w:t xml:space="preserve">6.85. 2026 (06) Information sur la rédaction de la prise en compte des données environnementales dans les Avis Techniques/DTA</w:t>
      </w:r>
    </w:p>
    <w:sectPr>
      <w:headerReference w:type="default" r:id="rId9"/>
      <w:footerReference w:type="default" r:id="rId10"/>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276D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BCC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5A1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C00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4D3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64C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2BD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560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F8B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441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0DE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909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52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8B4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0FB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8AE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DA5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94E2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C975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D64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751D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C1C3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cfat.fr/produits-procedes/famille/443/"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2026-11-01T06:22:10+01:00</dcterms:created>
  <dcterms:modified xsi:type="dcterms:W3CDTF">2026-11-01T06:22:10+01:00</dcterms:modified>
</cp:coreProperties>
</file>

<file path=docProps/custom.xml><?xml version="1.0" encoding="utf-8"?>
<Properties xmlns="http://schemas.openxmlformats.org/officeDocument/2006/custom-properties" xmlns:vt="http://schemas.openxmlformats.org/officeDocument/2006/docPropsVTypes"/>
</file>