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mixte à la française, oscillo battante ou à soufflet</w:t>
      </w:r>
    </w:p>
    <w:p>
      <w:pPr/>
      <w:r>
        <w:rPr>
          <w:rStyle w:val="font_h1"/>
        </w:rPr>
        <w:t xml:space="preserve">1. Principe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ind w:left="1440" w:right="0"/>
      </w:pPr>
      <w:r>
        <w:rPr>
          <w:rStyle w:val="font_h3"/>
        </w:rPr>
        <w:t xml:space="preserve">2.3.2. Profilés aluminium</w:t>
      </w:r>
    </w:p>
    <w:p>
      <w:pPr>
        <w:ind w:left="720" w:right="0"/>
      </w:pPr>
      <w:r>
        <w:rPr>
          <w:rStyle w:val="font_h2"/>
        </w:rPr>
        <w:t xml:space="preserve">2.4. Profilés bois</w:t>
      </w:r>
    </w:p>
    <w:p>
      <w:pPr>
        <w:ind w:left="720" w:right="0"/>
      </w:pPr>
      <w:r>
        <w:rPr>
          <w:rStyle w:val="font_h2"/>
        </w:rPr>
        <w:t xml:space="preserve">2.5. Profilés renforts</w:t>
      </w:r>
    </w:p>
    <w:p>
      <w:pPr>
        <w:ind w:left="720" w:right="0"/>
      </w:pPr>
      <w:r>
        <w:rPr>
          <w:rStyle w:val="font_h2"/>
        </w:rPr>
        <w:t xml:space="preserve">2.6. Profilés complémentaires d'étanchéité</w:t>
      </w:r>
    </w:p>
    <w:p>
      <w:pPr>
        <w:ind w:left="720" w:right="0"/>
      </w:pPr>
      <w:r>
        <w:rPr>
          <w:rStyle w:val="font_h2"/>
        </w:rPr>
        <w:t xml:space="preserve">2.7. Accessoires</w:t>
      </w:r>
    </w:p>
    <w:p>
      <w:pPr>
        <w:ind w:left="720" w:right="0"/>
      </w:pPr>
      <w:r>
        <w:rPr>
          <w:rStyle w:val="font_h2"/>
        </w:rPr>
        <w:t xml:space="preserve">2.8. Quincaillerie</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1440" w:right="0"/>
      </w:pPr>
      <w:r>
        <w:rPr>
          <w:rStyle w:val="font_h3"/>
        </w:rPr>
        <w:t xml:space="preserve">3.1.1. Assemblage meneau et traverse intermédiaire</w:t>
      </w:r>
    </w:p>
    <w:p>
      <w:pPr>
        <w:ind w:left="1440" w:right="0"/>
      </w:pPr>
      <w:r>
        <w:rPr>
          <w:rStyle w:val="font_h3"/>
        </w:rPr>
        <w:t xml:space="preserve">3.1.2. Drainage</w:t>
      </w:r>
    </w:p>
    <w:p>
      <w:pPr>
        <w:ind w:left="1440" w:right="0"/>
      </w:pPr>
      <w:r>
        <w:rPr>
          <w:rStyle w:val="font_h3"/>
        </w:rPr>
        <w:t xml:space="preserve">3.1.3. Equilibrage de pression</w:t>
      </w:r>
    </w:p>
    <w:p>
      <w:pPr>
        <w:ind w:left="1440" w:right="0"/>
      </w:pPr>
      <w:r>
        <w:rPr>
          <w:rStyle w:val="font_h3"/>
        </w:rPr>
        <w:t xml:space="preserve">3.1.4. Fourrures d'épaisseurs</w:t>
      </w:r>
    </w:p>
    <w:p>
      <w:pPr>
        <w:ind w:left="1440" w:right="0"/>
      </w:pPr>
      <w:r>
        <w:rPr>
          <w:rStyle w:val="font_h3"/>
        </w:rPr>
        <w:t xml:space="preserve">3.1.5. Seuil</w:t>
      </w:r>
    </w:p>
    <w:p>
      <w:pPr>
        <w:ind w:left="1440" w:right="0"/>
      </w:pPr>
      <w:r>
        <w:rPr>
          <w:rStyle w:val="font_h3"/>
        </w:rPr>
        <w:t xml:space="preserve">3.1.6. Fixe</w:t>
      </w:r>
    </w:p>
    <w:p>
      <w:pPr>
        <w:ind w:left="720" w:right="0"/>
      </w:pPr>
      <w:r>
        <w:rPr>
          <w:rStyle w:val="font_h2"/>
        </w:rPr>
        <w:t xml:space="preserve">3.2. Cadre ouvrant</w:t>
      </w:r>
    </w:p>
    <w:p>
      <w:pPr>
        <w:ind w:left="1440" w:right="0"/>
      </w:pPr>
      <w:r>
        <w:rPr>
          <w:rStyle w:val="font_h3"/>
        </w:rPr>
        <w:t xml:space="preserve">3.2.1. Assemblage des cadres ouvrants bois</w:t>
      </w:r>
    </w:p>
    <w:p>
      <w:pPr>
        <w:ind w:left="1440" w:right="0"/>
      </w:pPr>
      <w:r>
        <w:rPr>
          <w:rStyle w:val="font_h3"/>
        </w:rPr>
        <w:t xml:space="preserve">3.2.2. Assemblage des cadres ouvrants aluminium</w:t>
      </w:r>
    </w:p>
    <w:p>
      <w:pPr>
        <w:ind w:left="1440" w:right="0"/>
      </w:pPr>
      <w:r>
        <w:rPr>
          <w:rStyle w:val="font_h3"/>
        </w:rPr>
        <w:t xml:space="preserve">3.2.3. Assemblage des cadres ouvrants PVC</w:t>
      </w:r>
    </w:p>
    <w:p>
      <w:pPr>
        <w:ind w:left="1440" w:right="0"/>
      </w:pPr>
      <w:r>
        <w:rPr>
          <w:rStyle w:val="font_h3"/>
        </w:rPr>
        <w:t xml:space="preserve">3.2.4. Battements</w:t>
      </w:r>
    </w:p>
    <w:p>
      <w:pPr>
        <w:ind w:left="1440" w:right="0"/>
      </w:pPr>
      <w:r>
        <w:rPr>
          <w:rStyle w:val="font_h3"/>
        </w:rPr>
        <w:t xml:space="preserve">3.2.5. Rejet d'eau</w:t>
      </w:r>
    </w:p>
    <w:p>
      <w:pPr>
        <w:ind w:left="1440" w:right="0"/>
      </w:pPr>
      <w:r>
        <w:rPr>
          <w:rStyle w:val="font_h3"/>
        </w:rPr>
        <w:t xml:space="preserve">3.2.6. Traverse intermédiaire</w:t>
      </w:r>
    </w:p>
    <w:p>
      <w:pPr>
        <w:ind w:left="1440" w:right="0"/>
      </w:pPr>
      <w:r>
        <w:rPr>
          <w:rStyle w:val="font_h3"/>
        </w:rPr>
        <w:t xml:space="preserve">3.2.7. Renforts</w:t>
      </w:r>
    </w:p>
    <w:p>
      <w:pPr>
        <w:ind w:left="1440" w:right="0"/>
      </w:pPr>
      <w:r>
        <w:rPr>
          <w:rStyle w:val="font_h3"/>
        </w:rPr>
        <w:t xml:space="preserve">3.2.8. Drainage de la feuillure à verre</w:t>
      </w:r>
    </w:p>
    <w:p>
      <w:pPr>
        <w:ind w:left="1440" w:right="0"/>
      </w:pPr>
      <w:r>
        <w:rPr>
          <w:rStyle w:val="font_h3"/>
        </w:rPr>
        <w:t xml:space="preserve">3.2.9. Équilibrage de pression</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3.6.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3.7. Dimensions maximales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ind w:left="720" w:right="0"/>
      </w:pPr>
      <w:r>
        <w:rPr>
          <w:rStyle w:val="font_h2"/>
        </w:rPr>
        <w:t xml:space="preserve">5.2. Système d'étanchéité</w:t>
      </w:r>
    </w:p>
    <w:p>
      <w:pPr>
        <w:ind w:left="720" w:right="0"/>
      </w:pPr>
      <w:r>
        <w:rPr>
          <w:rStyle w:val="font_h2"/>
        </w:rPr>
        <w:t xml:space="preserve">5.3. Nettoyage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Jurisprudences</w:t>
      </w:r>
    </w:p>
    <w:p>
      <w:pPr>
        <w:ind w:left="720" w:right="0"/>
      </w:pPr>
      <w:r>
        <w:rPr>
          <w:rStyle w:val="font_h2"/>
        </w:rPr>
        <w:t xml:space="preserve">6.1.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6.2.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6.3.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6.4.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9"/>
        </w:numPr>
      </w:pPr>
      <w:r>
        <w:rPr/>
        <w:t xml:space="preserve">difficulté de connaitre vraiment l’état des pattes de fixation,</w:t>
      </w:r>
    </w:p>
    <w:p>
      <w:pPr>
        <w:pPr/>
        <w:numPr>
          <w:ilvl w:val="0"/>
          <w:numId w:val="9"/>
        </w:numPr>
      </w:pPr>
      <w:r>
        <w:rPr/>
        <w:t xml:space="preserve">solution thermiquement très difficile à réaliser correctement vis-à-vis de la liaison entre le nouveau et l’ancien dormant,</w:t>
      </w:r>
    </w:p>
    <w:p>
      <w:pPr>
        <w:pPr/>
        <w:numPr>
          <w:ilvl w:val="0"/>
          <w:numId w:val="9"/>
        </w:numPr>
      </w:pPr>
      <w:r>
        <w:rPr/>
        <w:t xml:space="preserve">connaissance très difficile des matières PVC des anciens dormants et de leur état de conservation,</w:t>
      </w:r>
    </w:p>
    <w:p>
      <w:pPr>
        <w:pPr/>
        <w:numPr>
          <w:ilvl w:val="0"/>
          <w:numId w:val="9"/>
        </w:numPr>
      </w:pPr>
      <w:r>
        <w:rPr/>
        <w:t xml:space="preserve">compatibilité de ces matières avec les mastics de calfeutrement à utiliser,</w:t>
      </w:r>
    </w:p>
    <w:p>
      <w:pPr>
        <w:pPr/>
        <w:numPr>
          <w:ilvl w:val="0"/>
          <w:numId w:val="9"/>
        </w:numPr>
      </w:pPr>
      <w:r>
        <w:rPr/>
        <w:t xml:space="preserve">difficulté pour conserver le clair de vitrage.</w:t>
      </w:r>
    </w:p>
    <w:p>
      <w:pPr>
        <w:ind w:left="720" w:right="0"/>
      </w:pPr>
      <w:r>
        <w:rPr>
          <w:rStyle w:val="font_h2"/>
        </w:rPr>
        <w:t xml:space="preserve">6.5.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6.6.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6.7.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6.8.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6.9.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6.10. 2018 (03) Risques de propagation du feu par la façade dans le cas des fenêtres mises en œuvre en applique extérieure</w:t>
      </w:r>
    </w:p>
    <w:p>
      <w:pPr/>
      <w:r>
        <w:rPr/>
        <w:t xml:space="preserve">Validé par le Groupe Spécialisé le 02/01/2018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6.11.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0"/>
        </w:numPr>
      </w:pPr>
      <w:r>
        <w:rPr/>
        <w:t xml:space="preserve">Un profilé complémentaire est nécessaire afin de réaliser une zone de calfeutrement d'au moins 10 mm</w:t>
      </w:r>
    </w:p>
    <w:p>
      <w:pPr>
        <w:ind w:left="720" w:right="0"/>
      </w:pPr>
      <w:r>
        <w:rPr>
          <w:rStyle w:val="font_h2"/>
        </w:rPr>
        <w:t xml:space="preserve">6.12.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1"/>
        </w:numPr>
      </w:pPr>
      <w:r>
        <w:rPr/>
        <w:t xml:space="preserve">Seuils aluminium sans rupteur thermique</w:t>
      </w:r>
    </w:p>
    <w:p>
      <w:pPr>
        <w:pPr/>
        <w:numPr>
          <w:ilvl w:val="0"/>
          <w:numId w:val="11"/>
        </w:numPr>
      </w:pPr>
      <w:r>
        <w:rPr/>
        <w:t xml:space="preserve">Chicanes de coulissant sans rupteur thermique</w:t>
      </w:r>
    </w:p>
    <w:p>
      <w:pPr>
        <w:pPr/>
        <w:numPr>
          <w:ilvl w:val="0"/>
          <w:numId w:val="11"/>
        </w:numPr>
      </w:pPr>
      <w:r>
        <w:rPr/>
        <w:t xml:space="preserve">Poignée de manœuvre traversante sans rupteur thermique</w:t>
      </w:r>
    </w:p>
    <w:p>
      <w:pPr>
        <w:pPr/>
        <w:numPr>
          <w:ilvl w:val="0"/>
          <w:numId w:val="11"/>
        </w:numPr>
      </w:pPr>
      <w:r>
        <w:rPr/>
        <w:t xml:space="preserve">Profilé d'ouvrant sans rupteur thermique en contact directe avec le battement extérieur métallique</w:t>
      </w:r>
    </w:p>
    <w:p>
      <w:pPr>
        <w:pPr/>
        <w:numPr>
          <w:ilvl w:val="0"/>
          <w:numId w:val="11"/>
        </w:numPr>
      </w:pPr>
      <w:r>
        <w:rPr/>
        <w:t xml:space="preserve">Profilé de coffre traversant sans rupteur thermique</w:t>
      </w:r>
    </w:p>
    <w:p>
      <w:pPr>
        <w:ind w:left="720" w:right="0"/>
      </w:pPr>
      <w:r>
        <w:rPr>
          <w:rStyle w:val="font_h2"/>
        </w:rPr>
        <w:t xml:space="preserve">6.13.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6.14.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6.15.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6.16.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6.17.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6.18.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6.19.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6.20.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6.21.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6.22.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6.23.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2"/>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2"/>
        </w:numPr>
      </w:pPr>
      <w:r>
        <w:rPr/>
        <w:t xml:space="preserve">Suppression des tableaux thermiques renvoyés vers le rapport de calculs thermiques attestés conformes au DTA, cité au paragraphe B Résultats expérimentaux.</w:t>
      </w:r>
    </w:p>
    <w:p>
      <w:pPr>
        <w:pPr/>
        <w:numPr>
          <w:ilvl w:val="0"/>
          <w:numId w:val="12"/>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2"/>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3"/>
        </w:numPr>
      </w:pPr>
      <w:r>
        <w:rPr/>
        <w:t xml:space="preserve">Profilés PVC : suppression du lieu d’extrusion dans le cas des profilés NF126 ;</w:t>
      </w:r>
    </w:p>
    <w:p>
      <w:pPr>
        <w:pPr/>
        <w:numPr>
          <w:ilvl w:val="0"/>
          <w:numId w:val="13"/>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6.24.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4"/>
        </w:numPr>
      </w:pPr>
      <w:r>
        <w:rPr/>
        <w:t xml:space="preserve">la pièce 3D soit géométriquement identique à la pièce finale,</w:t>
      </w:r>
    </w:p>
    <w:p>
      <w:pPr>
        <w:pPr/>
        <w:numPr>
          <w:ilvl w:val="0"/>
          <w:numId w:val="14"/>
        </w:numPr>
      </w:pPr>
      <w:r>
        <w:rPr/>
        <w:t xml:space="preserve">une date de mise à disposition de la pièce finale soit arrêtée,</w:t>
      </w:r>
    </w:p>
    <w:p>
      <w:pPr>
        <w:pPr/>
        <w:numPr>
          <w:ilvl w:val="0"/>
          <w:numId w:val="14"/>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6.25.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6.26.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6.27.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6.28.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6.29.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6.30.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6.31.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6.32.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6.33.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6.34.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6.35.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6.36.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6"/>
        </w:numPr>
      </w:pPr>
      <w:r>
        <w:rPr/>
        <w:t xml:space="preserve">Vis inox A2 pour la fixation d’éléments démontables.</w:t>
      </w:r>
    </w:p>
    <w:p>
      <w:pPr>
        <w:pPr/>
        <w:numPr>
          <w:ilvl w:val="0"/>
          <w:numId w:val="16"/>
        </w:numPr>
      </w:pPr>
      <w:r>
        <w:rPr/>
        <w:t xml:space="preserve">Vis zinguées de classe 4 selon la norme EN 1670 pour les éléments non démontables.</w:t>
      </w:r>
    </w:p>
    <w:p>
      <w:pPr>
        <w:ind w:left="720" w:right="0"/>
      </w:pPr>
      <w:r>
        <w:rPr>
          <w:rStyle w:val="font_h2"/>
        </w:rPr>
        <w:t xml:space="preserve">6.37.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6.38.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6.39.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6.40.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7"/>
        </w:numPr>
      </w:pPr>
      <w:r>
        <w:rPr/>
        <w:t xml:space="preserve">label Qualimarine avec alliage qualité bâtiment selon définition du DTU 33.1 ;</w:t>
      </w:r>
    </w:p>
    <w:p>
      <w:pPr/>
      <w:r>
        <w:rPr/>
        <w:t xml:space="preserve">ou bien</w:t>
      </w:r>
    </w:p>
    <w:p>
      <w:pPr>
        <w:pPr/>
        <w:numPr>
          <w:ilvl w:val="0"/>
          <w:numId w:val="18"/>
        </w:numPr>
      </w:pPr>
      <w:r>
        <w:rPr/>
        <w:t xml:space="preserve">label Qualicoat Seaside AA1 ou AA2 minimum avec alliage qualité bâtiment selon définition du DTU 33.1.</w:t>
      </w:r>
    </w:p>
    <w:p>
      <w:pPr>
        <w:ind w:left="720" w:right="0"/>
      </w:pPr>
      <w:r>
        <w:rPr>
          <w:rStyle w:val="font_h2"/>
        </w:rPr>
        <w:t xml:space="preserve">6.41.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19"/>
        </w:numPr>
      </w:pPr>
      <w:r>
        <w:rPr/>
        <w:t xml:space="preserve">Rc = recouvrement nominal du joint central ;</w:t>
      </w:r>
    </w:p>
    <w:p>
      <w:pPr>
        <w:pPr/>
        <w:numPr>
          <w:ilvl w:val="0"/>
          <w:numId w:val="19"/>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0"/>
        </w:numPr>
      </w:pPr>
      <w:r>
        <w:rPr/>
        <w:t xml:space="preserve">Réglage possible du recouvrement ouvrant/dormant en hauteur et largeur ± 1 mm et Ri ≥ 5 mmOU</w:t>
      </w:r>
    </w:p>
    <w:p>
      <w:pPr>
        <w:pPr/>
        <w:numPr>
          <w:ilvl w:val="0"/>
          <w:numId w:val="20"/>
        </w:numPr>
      </w:pPr>
      <w:r>
        <w:rPr/>
        <w:t xml:space="preserve">Réglage possible du recouvrement ouvrant/dormant en largeur ± 1 mm et Ri ≥ 8 mm</w:t>
      </w:r>
    </w:p>
    <w:p>
      <w:pPr/>
      <w:r>
        <w:rPr/>
        <w:t xml:space="preserve">Cas 3 : 3 ≤ Rc &lt; 4 mm</w:t>
      </w:r>
    </w:p>
    <w:p>
      <w:pPr>
        <w:pPr/>
        <w:numPr>
          <w:ilvl w:val="0"/>
          <w:numId w:val="21"/>
        </w:numPr>
      </w:pPr>
      <w:r>
        <w:rPr/>
        <w:t xml:space="preserve">Réglage possible du recouvrement ouvrant/dormant en hauteur et largeur ± 2 mm et Ri ≥ 5 mmOU</w:t>
      </w:r>
    </w:p>
    <w:p>
      <w:pPr>
        <w:pPr/>
        <w:numPr>
          <w:ilvl w:val="0"/>
          <w:numId w:val="21"/>
        </w:numPr>
      </w:pPr>
      <w:r>
        <w:rPr/>
        <w:t xml:space="preserve">Réglage possible du recouvrement ouvrant/dormant en largeur ± 1 mm et Ri ≥ 8 mm</w:t>
      </w:r>
    </w:p>
    <w:p>
      <w:pPr/>
      <w:r>
        <w:rPr/>
        <w:t xml:space="preserve">Ces dispositions permettent d'assurer :</w:t>
      </w:r>
    </w:p>
    <w:p>
      <w:pPr>
        <w:pPr/>
        <w:numPr>
          <w:ilvl w:val="0"/>
          <w:numId w:val="22"/>
        </w:numPr>
      </w:pPr>
      <w:r>
        <w:rPr/>
        <w:t xml:space="preserve">Un recouvrement effectif de la garniture de joint central ≥ 3 mm en partie basse et au niveau du battement central.</w:t>
      </w:r>
    </w:p>
    <w:p>
      <w:pPr>
        <w:pPr/>
        <w:numPr>
          <w:ilvl w:val="0"/>
          <w:numId w:val="22"/>
        </w:numPr>
      </w:pPr>
      <w:r>
        <w:rPr/>
        <w:t xml:space="preserve">Un recouvrement effectif de la garniture de joint central ≥ 1 mm sur les autres côtés.</w:t>
      </w:r>
    </w:p>
    <w:p>
      <w:pPr>
        <w:pPr/>
        <w:numPr>
          <w:ilvl w:val="0"/>
          <w:numId w:val="22"/>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6.42.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6.43.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6.44.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6.45.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6.46.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3"/>
        </w:numPr>
      </w:pPr>
      <w:r>
        <w:rPr/>
        <w:t xml:space="preserve">Garantir une constance de qualité de fabrication et une constance de la composition chimique.</w:t>
      </w:r>
    </w:p>
    <w:p>
      <w:pPr>
        <w:pPr/>
        <w:numPr>
          <w:ilvl w:val="0"/>
          <w:numId w:val="23"/>
        </w:numPr>
      </w:pPr>
      <w:r>
        <w:rPr/>
        <w:t xml:space="preserve">En cas de changement, informer le CSTB de toute modification de la composition de son produit.</w:t>
      </w:r>
    </w:p>
    <w:p>
      <w:pPr>
        <w:pPr/>
        <w:numPr>
          <w:ilvl w:val="0"/>
          <w:numId w:val="23"/>
        </w:numPr>
      </w:pPr>
      <w:r>
        <w:rPr/>
        <w:t xml:space="preserve">Assurer le contrôle qualité en fabrication garantissant les performances de son produit.</w:t>
      </w:r>
    </w:p>
    <w:p>
      <w:pPr>
        <w:ind w:left="720" w:right="0"/>
      </w:pPr>
      <w:r>
        <w:rPr>
          <w:rStyle w:val="font_h2"/>
        </w:rPr>
        <w:t xml:space="preserve">6.47.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6.48.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4"/>
        </w:numPr>
      </w:pPr>
      <w:r>
        <w:rPr/>
        <w:t xml:space="preserve">Pour tous les nouveaux systèmes ;</w:t>
      </w:r>
    </w:p>
    <w:p>
      <w:pPr>
        <w:pPr/>
        <w:numPr>
          <w:ilvl w:val="0"/>
          <w:numId w:val="24"/>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6.49.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6.50.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6.51.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6.52.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6.53.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6.54.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6.55.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6.56.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6.57.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5"/>
        </w:numPr>
      </w:pPr>
      <w:r>
        <w:rPr/>
        <w:t xml:space="preserve">le préciser dans le paragraphe « domaine d’emploi », </w:t>
      </w:r>
    </w:p>
    <w:p>
      <w:pPr>
        <w:pPr/>
        <w:numPr>
          <w:ilvl w:val="0"/>
          <w:numId w:val="25"/>
        </w:numPr>
      </w:pPr>
      <w:r>
        <w:rPr/>
        <w:t xml:space="preserve">l’indiquer dans le paragraphe « remarques complémentaires du groupe spécialisé », </w:t>
      </w:r>
    </w:p>
    <w:p>
      <w:pPr>
        <w:pPr/>
        <w:numPr>
          <w:ilvl w:val="0"/>
          <w:numId w:val="25"/>
        </w:numPr>
      </w:pPr>
      <w:r>
        <w:rPr/>
        <w:t xml:space="preserve">présenter dans le dossier publié un schéma montrant la mise en place de ce profilé et son interaction avec le gros œuvre.</w:t>
      </w:r>
    </w:p>
    <w:p>
      <w:pPr>
        <w:ind w:left="720" w:right="0"/>
      </w:pPr>
      <w:r>
        <w:rPr>
          <w:rStyle w:val="font_h2"/>
        </w:rPr>
        <w:t xml:space="preserve">6.58.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6.59.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6.60.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6.61.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6.62.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6.63.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6.64.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6"/>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6"/>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6.65.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6.66.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6.67.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27"/>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27"/>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6.68.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6.69.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6.70.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6.71.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6.72.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6.73.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6.74.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6.75.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28"/>
        </w:numPr>
      </w:pPr>
      <w:r>
        <w:rPr/>
        <w:t xml:space="preserve">Classement A*3 : la justification est jugée recevable. </w:t>
      </w:r>
    </w:p>
    <w:p>
      <w:pPr>
        <w:pPr/>
        <w:numPr>
          <w:ilvl w:val="0"/>
          <w:numId w:val="28"/>
        </w:numPr>
      </w:pPr>
      <w:r>
        <w:rPr/>
        <w:t xml:space="preserve">Classement A*3 jusqu’à 450 Pa : la justification est présentable devant le GS6 qui jugera à dire d’experts. </w:t>
      </w:r>
    </w:p>
    <w:p>
      <w:pPr>
        <w:pPr/>
        <w:numPr>
          <w:ilvl w:val="0"/>
          <w:numId w:val="28"/>
        </w:numPr>
      </w:pPr>
      <w:r>
        <w:rPr/>
        <w:t xml:space="preserve">Classement inférieur à A*3 à 450 Pa : la justification n’est pas recevable.</w:t>
      </w:r>
    </w:p>
    <w:p>
      <w:pPr>
        <w:ind w:left="720" w:right="0"/>
      </w:pPr>
      <w:r>
        <w:rPr>
          <w:rStyle w:val="font_h2"/>
        </w:rPr>
        <w:t xml:space="preserve">6.76.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6.77.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6.78.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29"/>
        </w:numPr>
      </w:pPr>
      <w:r>
        <w:rPr/>
        <w:t xml:space="preserve">les vitrages isolants doubles et/ou triples ; </w:t>
      </w:r>
    </w:p>
    <w:p>
      <w:pPr>
        <w:pPr/>
        <w:numPr>
          <w:ilvl w:val="0"/>
          <w:numId w:val="29"/>
        </w:numPr>
      </w:pPr>
      <w:r>
        <w:rPr/>
        <w:t xml:space="preserve">les vitrages isolants simples justifiant de performances thermiques (exemple : vitrages sous vide) ; </w:t>
      </w:r>
    </w:p>
    <w:p>
      <w:pPr>
        <w:pPr/>
        <w:numPr>
          <w:ilvl w:val="0"/>
          <w:numId w:val="29"/>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0"/>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0"/>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6.79.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6.80. 2025 (12) Reformulation du paragraphe « Cas des dispositions PMR »</w:t>
      </w:r>
    </w:p>
    <w:p>
      <w:pPr/>
      <w:r>
        <w:rPr/>
        <w:t xml:space="preserve">Validé par le Groupe Spécialisé le 05/02/2026</w:t>
      </w:r>
    </w:p>
    <w:p>
      <w:pPr/>
      <w:r>
        <w:rPr>
          <w:b/>
          <w:bCs/>
        </w:rPr>
        <w:t xml:space="preserve">Description</w:t>
      </w:r>
    </w:p>
    <w:p>
      <w:pPr/>
      <w:r>
        <w:rPr/>
        <w:t xml:space="preserve">Dans le cas où une justification a été apportée vis à vis des systèmes sur plots, la phrase type du DTA est reformulée comme suit : « Des caillebotis mais aussi des systèmes sur plots (exemple : dalles) peuvent être utilisés dans le cadre de la mise en œuvre PMR selon le cahier du CSTB 3706_V2 (positionnés à une distance de 5 mm à 18 mm du nez de seuil) ».</w:t>
      </w:r>
    </w:p>
    <w:p>
      <w:pPr>
        <w:ind w:left="720" w:right="0"/>
      </w:pPr>
      <w:r>
        <w:rPr>
          <w:rStyle w:val="font_h2"/>
        </w:rPr>
        <w:t xml:space="preserve">6.81. 2025 (12) Eléments de preuves recevables concernant les DTA dont le domaine d'emploi couvre l'outremer (soumis à la réglementation paracyclonique)</w:t>
      </w:r>
    </w:p>
    <w:p>
      <w:pPr/>
      <w:r>
        <w:rPr/>
        <w:t xml:space="preserve">Validé par le Groupe Spécialisé le 05/02/2026</w:t>
      </w:r>
    </w:p>
    <w:p>
      <w:pPr/>
      <w:r>
        <w:rPr>
          <w:b/>
          <w:bCs/>
        </w:rPr>
        <w:t xml:space="preserve">Description</w:t>
      </w:r>
    </w:p>
    <w:p>
      <w:pPr/>
      <w:r>
        <w:rPr/>
        <w:t xml:space="preserve">Le CSTB a présenté le protocole d’essais rédigé retenu concernant la résistance aux chocs des fenêtres suite aux échanges de la dernière séance. Ce protocole est en pièce jointe du présent compte rendu et sera disponible sur le site de la CCFAT. Il est applicable à compter du 1er janvier pour tous les dossiers présentés en GS6 se revendiquant du domaine d’emploi visé.</w:t>
      </w:r>
    </w:p>
    <w:p>
      <w:pPr/>
      <w:r>
        <w:rPr/>
        <w:t xml:space="preserve">Le document « Protocole d’essai de résistance au choc des fenêtres » est disponible au lien ci-dessous.</w:t>
      </w:r>
    </w:p>
    <w:p>
      <w:pPr>
        <w:ind w:left="720" w:right="0"/>
      </w:pPr>
      <w:r>
        <w:rPr>
          <w:rStyle w:val="font_h2"/>
        </w:rPr>
        <w:t xml:space="preserve">6.82. 2026 (02) Accessibilité aux handicapés</w:t>
      </w:r>
    </w:p>
    <w:p>
      <w:pPr/>
      <w:r>
        <w:rPr/>
        <w:t xml:space="preserve">Validé par le Groupe Spécialisé le 19/03/2026</w:t>
      </w:r>
    </w:p>
    <w:p>
      <w:pPr/>
      <w:r>
        <w:rPr>
          <w:b/>
          <w:bCs/>
        </w:rPr>
        <w:t xml:space="preserve">Description</w:t>
      </w:r>
    </w:p>
    <w:p>
      <w:pPr/>
      <w:r>
        <w:rPr/>
        <w:t xml:space="preserve">Dans les cas où le seuil PMR n’incorpore pas de réservation spécifique pour le calfeutrement, le paragraphe 1.2.1.11 « Accessibilité aux handicapés » du DTA devient : « Ce système dispose d’une solution de seuil, qui sans avoir recours à une rampe amovible intérieure, pour peu qu’il soit encastré, permet l’accès aux handicapés au sens de l’arrêté du 30 novembre 2007. »</w:t>
      </w:r>
    </w:p>
    <w:p>
      <w:pPr>
        <w:ind w:left="720" w:right="0"/>
      </w:pPr>
      <w:r>
        <w:rPr>
          <w:rStyle w:val="font_h2"/>
        </w:rPr>
        <w:t xml:space="preserve">6.83. 2026 (03) Limitation du domaine d’emploi des systèmes prévoyant une mise en œuvre dans des panneaux sandwich</w:t>
      </w:r>
    </w:p>
    <w:p>
      <w:pPr/>
      <w:r>
        <w:rPr/>
        <w:t xml:space="preserve">Validé par le Groupe Spécialisé le 21/05/2026</w:t>
      </w:r>
    </w:p>
    <w:p>
      <w:pPr/>
      <w:r>
        <w:rPr>
          <w:b/>
          <w:bCs/>
        </w:rPr>
        <w:t xml:space="preserve">Description</w:t>
      </w:r>
    </w:p>
    <w:p>
      <w:pPr/>
      <w:r>
        <w:rPr/>
        <w:t xml:space="preserve">Rappel : le GS6 n’autorisait pas dans un même DTA des systèmes qui prévoyaient au domaine d’emploi une mise en œuvre sur panneaux sandwich et une mise en œuvre sur structure rigide.</w:t>
      </w:r>
    </w:p>
    <w:p>
      <w:pPr/>
      <w:r>
        <w:rPr/>
        <w:t xml:space="preserve">Le GS6 modifie sa position comme suit : le GS6 autorise dans un même DTA des systèmes qui prévoient une mise en œuvre par clippage et une mise en œuvre classique (vissage). Cela permet aux systèmes prévoyant une mise en œuvre par clippage de pouvoir revendiquer dans un même DTA le domaine d’emploi de mise en œuvre sur panneaux sandwich et sur structure rigide (sous réserve d’apporter toutes les justifications nécessaires).</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04E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C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B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D9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AC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28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B2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B7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F7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11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69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55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7B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3A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28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25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8CD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09D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9F8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9F9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BF1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27E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2026-06-20T18:06:34+02:00</dcterms:created>
  <dcterms:modified xsi:type="dcterms:W3CDTF">2026-06-20T18:06:34+02:00</dcterms:modified>
</cp:coreProperties>
</file>

<file path=docProps/custom.xml><?xml version="1.0" encoding="utf-8"?>
<Properties xmlns="http://schemas.openxmlformats.org/officeDocument/2006/custom-properties" xmlns:vt="http://schemas.openxmlformats.org/officeDocument/2006/docPropsVTypes"/>
</file>