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06 - Édité le 03/12/2025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06 « Composants de baies et vitrages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Panneau de remplissage de soubassement de porte-fenêtre</w:t>
      </w:r>
    </w:p>
    <w:p>
      <w:pPr/>
      <w:r>
        <w:rPr>
          <w:rStyle w:val="font_h1"/>
        </w:rPr>
        <w:t xml:space="preserve">1. Définition succinte</w:t>
      </w:r>
    </w:p>
    <w:p>
      <w:pPr>
        <w:ind w:left="720" w:right="0"/>
      </w:pPr>
      <w:r>
        <w:rPr>
          <w:rStyle w:val="font_h2"/>
        </w:rPr>
        <w:t xml:space="preserve">1.1. Identification</w:t>
      </w:r>
    </w:p>
    <w:p>
      <w:pPr/>
      <w:r>
        <w:rPr/>
        <w:t xml:space="preserve">Validé par le Groupe Spécialisé le 02/01/2018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Une identification visuelle (sans altération) est nécessaire sur chaque panneau, conformément à l'Avis Technique délivré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Identification des panneaux de remplissage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L'identification de chaque panneau de remplissage associé à la raison sociale du fabricant, doit également inclure la référence à l'Avis Technique et le logo de la CCFAT.</w:t>
      </w:r>
    </w:p>
    <w:p>
      <w:pPr/>
      <w:r>
        <w:rPr>
          <w:rStyle w:val="font_h1"/>
        </w:rPr>
        <w:t xml:space="preserve">2. Jurisprudences</w:t>
      </w:r>
    </w:p>
    <w:p>
      <w:pPr>
        <w:ind w:left="720" w:right="0"/>
      </w:pPr>
      <w:r>
        <w:rPr>
          <w:rStyle w:val="font_h2"/>
        </w:rPr>
        <w:t xml:space="preserve">2.1. 2017 (03) Position du GS pour les systèmes de &amp;quot;panneau de remplissage&amp;quot;</w:t>
      </w:r>
    </w:p>
    <w:p>
      <w:pPr/>
      <w:r>
        <w:rPr/>
        <w:t xml:space="preserve">Validé par le Groupe Spécialisé le 18/05/2017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 Groupe Spécialisé n°6 confirme la nécessité d'une identification visuelle pour chaque panneau conforme à l'Avis Technique.Cette identification doit inclure la référence à l'Avis Technique (via le logo de la CCFAT).</w:t>
      </w:r>
    </w:p>
    <w:p>
      <w:pPr>
        <w:ind w:left="720" w:right="0"/>
      </w:pPr>
      <w:r>
        <w:rPr>
          <w:rStyle w:val="font_h2"/>
        </w:rPr>
        <w:t xml:space="preserve">2.2. 2019 (12) Complément de Jurisprudence: marquage du système de &amp;quot;panneau de remplissage&amp;quot;</w:t>
      </w:r>
    </w:p>
    <w:p>
      <w:pPr/>
      <w:r>
        <w:rPr/>
        <w:t xml:space="preserve">Validé par le Groupe Spécialisé le 06/02/2020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Au niveau du marquage réalisé sur l'âme isolante du panneau de remplissage, il a été convenu la jurisprudence complémentaire suivante:"Lorsque les éléments constitutifs du panneau sont découpés avant encollage et que le panneau ainsi formé n'est pas destiné à être redécoupé alors un seul marquage est suffisant."</w:t>
      </w:r>
    </w:p>
    <w:p>
      <w:pPr>
        <w:ind w:left="720" w:right="0"/>
      </w:pPr>
      <w:r>
        <w:rPr>
          <w:rStyle w:val="font_h2"/>
        </w:rPr>
        <w:t xml:space="preserve">2.3. 2024 (12)  Nouvelles exigences sur plaque support en HPL (High Pressure Laminated) revêtue d’un film décoratif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2025-12-03T02:39:08+01:00</dcterms:created>
  <dcterms:modified xsi:type="dcterms:W3CDTF">2025-12-03T02:39:08+01:00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