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09/06/2026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Panneau de remplissage de soubassement de porte-fenêtre</w:t>
      </w:r>
    </w:p>
    <w:p>
      <w:pPr/>
      <w:r>
        <w:rPr>
          <w:rStyle w:val="font_h1"/>
        </w:rPr>
        <w:t xml:space="preserve">1. Définition succinte</w:t>
      </w:r>
    </w:p>
    <w:p>
      <w:pPr>
        <w:ind w:left="720" w:right="0"/>
      </w:pPr>
      <w:r>
        <w:rPr>
          <w:rStyle w:val="font_h2"/>
        </w:rPr>
        <w:t xml:space="preserve">1.1. Identification</w:t>
      </w:r>
    </w:p>
    <w:p>
      <w:pPr/>
      <w:r>
        <w:rPr/>
        <w:t xml:space="preserve">Validé par le Groupe Spécialisé le 02/01/2018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identification visuelle (sans altération) est nécessaire sur chaque panneau, conformément à l'Avis Technique délivré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Identification des panneaux de remplissage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L'identification de chaque panneau de remplissage associé à la raison sociale du fabricant, doit également inclure la référence à l'Avis Technique et le logo de la CCFAT.</w:t>
      </w:r>
    </w:p>
    <w:p>
      <w:pPr/>
      <w:r>
        <w:rPr>
          <w:rStyle w:val="font_h1"/>
        </w:rPr>
        <w:t xml:space="preserve">2. Jurisprudences</w:t>
      </w:r>
    </w:p>
    <w:p>
      <w:pPr>
        <w:ind w:left="720" w:right="0"/>
      </w:pPr>
      <w:r>
        <w:rPr>
          <w:rStyle w:val="font_h2"/>
        </w:rPr>
        <w:t xml:space="preserve">2.1. 2017 (03) Position du GS pour les systèmes de &amp;quot;panneau de remplissage&amp;quot;</w:t>
      </w:r>
    </w:p>
    <w:p>
      <w:pPr/>
      <w:r>
        <w:rPr/>
        <w:t xml:space="preserve">Validé par le Groupe Spécialisé le 18/05/2017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Groupe Spécialisé n°6 confirme la nécessité d'une identification visuelle pour chaque panneau conforme à l'Avis Technique.Cette identification doit inclure la référence à l'Avis Technique (via le logo de la CCFAT).</w:t>
      </w:r>
    </w:p>
    <w:p>
      <w:pPr>
        <w:ind w:left="720" w:right="0"/>
      </w:pPr>
      <w:r>
        <w:rPr>
          <w:rStyle w:val="font_h2"/>
        </w:rPr>
        <w:t xml:space="preserve">2.2. 2019 (12) Complément de Jurisprudence: marquage du système de &amp;quot;panneau de remplissage&amp;quot;</w:t>
      </w:r>
    </w:p>
    <w:p>
      <w:pPr/>
      <w:r>
        <w:rPr/>
        <w:t xml:space="preserve">Validé par le Groupe Spécialisé le 06/02/2020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Au niveau du marquage réalisé sur l'âme isolante du panneau de remplissage, il a été convenu la jurisprudence complémentaire suivante:"Lorsque les éléments constitutifs du panneau sont découpés avant encollage et que le panneau ainsi formé n'est pas destiné à être redécoupé alors un seul marquage est suffisant."</w:t>
      </w:r>
    </w:p>
    <w:p>
      <w:pPr>
        <w:ind w:left="720" w:right="0"/>
      </w:pPr>
      <w:r>
        <w:rPr>
          <w:rStyle w:val="font_h2"/>
        </w:rPr>
        <w:t xml:space="preserve">2.3. 2024 (12)  Nouvelles exigences sur plaque support en HPL (High Pressure Laminated) revêtue d’un film décoratif</w:t>
      </w:r>
    </w:p>
    <w:p>
      <w:pPr/>
      <w:r>
        <w:rPr/>
        <w:t xml:space="preserve">Validé par le Groupe Spécialisé le 06/02/2025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proposition est acceptée en considérant :</w:t>
      </w:r>
    </w:p>
    <w:p>
      <w:pPr>
        <w:pPr/>
        <w:numPr>
          <w:ilvl w:val="0"/>
          <w:numId w:val="9"/>
        </w:numPr>
      </w:pPr>
      <w:r>
        <w:rPr/>
        <w:t xml:space="preserve">sur le support HPL seul, les exigences suivantes :</w:t>
      </w:r>
      <w:r>
        <w:rPr/>
        <w:t xml:space="preserve">o    Conformité aux essais de résistance au vieillissement simulé selon les normes NF EN ISO 4892-1, et -2 pour une durée totale de 500h avec la spécification de variation du critère d’aspect dans l’échelle des gris, limitée à un degré de solidité de la teinte ≥3.</w:t>
      </w:r>
      <w:r>
        <w:rPr/>
        <w:t xml:space="preserve">o Module en flexion (sens Longueur et sens Travers) : ≥9000MPa.</w:t>
      </w:r>
      <w:r>
        <w:rPr/>
        <w:t xml:space="preserve">o Résistance en flexion (sens Longueur et sens Travers) : ≥80MPa.</w:t>
      </w:r>
      <w:r>
        <w:rPr/>
        <w:t xml:space="preserve">o Masse volumique : ≥1,35g/cm3.</w:t>
      </w:r>
    </w:p>
    <w:p>
      <w:pPr>
        <w:pPr/>
        <w:numPr>
          <w:ilvl w:val="0"/>
          <w:numId w:val="9"/>
        </w:numPr>
      </w:pPr>
      <w:r>
        <w:rPr/>
        <w:t xml:space="preserve">sur le support HPL revêtu d’un film décoratif, les exigences suivantes :</w:t>
      </w:r>
      <w:r>
        <w:rPr/>
        <w:t xml:space="preserve">o Conformité aux essais de “Résistance en ambiance humide” (Cf. §15) de la norme NF EN 438-2 avec les spécifications : accroissement de la masse ≤7% et aspect de surface (contrôle visuel) non dégradé.</w:t>
      </w:r>
      <w:r>
        <w:rPr/>
        <w:t xml:space="preserve">o Épaisseur totale ≥2,0mm.</w:t>
      </w:r>
    </w:p>
    <w:p>
      <w:pPr>
        <w:pPr/>
        <w:numPr>
          <w:ilvl w:val="0"/>
          <w:numId w:val="9"/>
        </w:numPr>
      </w:pPr>
      <w:r>
        <w:rPr/>
        <w:t xml:space="preserve">sur le panneau : pas de modification des exigences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0A3B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2026-06-09T04:40:28+02:00</dcterms:created>
  <dcterms:modified xsi:type="dcterms:W3CDTF">2026-06-09T04:40:28+02:00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