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18/01/2026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isolant</w:t>
      </w:r>
    </w:p>
    <w:p>
      <w:pPr/>
      <w:r>
        <w:rPr>
          <w:rStyle w:val="font_h1"/>
        </w:rPr>
        <w:t xml:space="preserve">1. Description</w:t>
      </w:r>
    </w:p>
    <w:p>
      <w:pPr/>
      <w:r>
        <w:rPr>
          <w:rStyle w:val="font_h1"/>
        </w:rPr>
        <w:t xml:space="preserve">2. Jurisprudences</w:t>
      </w:r>
    </w:p>
    <w:p>
      <w:pPr>
        <w:ind w:left="720" w:right="0"/>
      </w:pPr>
      <w:r>
        <w:rPr>
          <w:rStyle w:val="font_h2"/>
        </w:rPr>
        <w:t xml:space="preserve">2.1. 30 mars 2017 Traditionnalité / non-traditionnalité des « Vitrages isolants à clameaux »</w:t>
      </w:r>
    </w:p>
    <w:p>
      <w:pPr/>
      <w:r>
        <w:rPr/>
        <w:t xml:space="preserve">Validé par le Groupe Spécialisé le 06/12/2017</w:t>
      </w:r>
    </w:p>
    <w:p>
      <w:pPr/>
      <w:r>
        <w:rPr>
          <w:b/>
          <w:bCs/>
        </w:rPr>
        <w:t xml:space="preserve">Description</w:t>
      </w:r>
    </w:p>
    <w:p>
      <w:pPr/>
      <w:r>
        <w:rPr/>
        <w:t xml:space="preserve">Le Groupe Spécialisé n°6 considère que les vitrages isolants à clameaux constituent des technologies non traditionnelles dont l’évaluation relève de la procédure d’Avis Technique de la CCFAT.La répartition de l’évaluation entre le GS n°6 et le GS n°2 devra faire l’objet de concertation entre ces deux GS.</w:t>
      </w:r>
    </w:p>
    <w:p>
      <w:pPr>
        <w:ind w:left="720" w:right="0"/>
      </w:pPr>
      <w:r>
        <w:rPr>
          <w:rStyle w:val="font_h2"/>
        </w:rPr>
        <w:t xml:space="preserve">2.2. 9 avril 2015 Equilibrage in situ de vitrages isolants</w:t>
      </w:r>
    </w:p>
    <w:p>
      <w:pPr/>
      <w:r>
        <w:rPr/>
        <w:t xml:space="preserve">Validé par le Groupe Spécialisé le 11/06/2015</w:t>
      </w:r>
    </w:p>
    <w:p>
      <w:pPr/>
      <w:r>
        <w:rPr>
          <w:b/>
          <w:bCs/>
        </w:rPr>
        <w:t xml:space="preserve">Description</w:t>
      </w:r>
    </w:p>
    <w:p>
      <w:pPr/>
      <w:r>
        <w:rPr/>
        <w:t xml:space="preserve">La possibilité d’équilibrage in situ des vitrages isolants (doubles ou triples) avec remplissage argon ou krypton est conservée.Cependant dans cette configuration, il ne sera pris en compte qu’un remplissage avec de l’air au regard de la performance thermique.</w:t>
      </w:r>
    </w:p>
    <w:p>
      <w:pPr>
        <w:ind w:left="720" w:right="0"/>
      </w:pPr>
      <w:r>
        <w:rPr>
          <w:rStyle w:val="font_h2"/>
        </w:rPr>
        <w:t xml:space="preserve">2.3. 28 mars 2018  Les polymères MS relèvent-ils de la procédure d’Avis Technique ?</w:t>
      </w:r>
    </w:p>
    <w:p>
      <w:pPr/>
      <w:r>
        <w:rPr/>
        <w:t xml:space="preserve">Validé par le Groupe Spécialisé le 04/10/2018</w:t>
      </w:r>
    </w:p>
    <w:p>
      <w:pPr/>
      <w:r>
        <w:rPr>
          <w:b/>
          <w:bCs/>
        </w:rPr>
        <w:t xml:space="preserve">Description</w:t>
      </w:r>
    </w:p>
    <w:p>
      <w:pPr/>
      <w:r>
        <w:rPr/>
        <w:t xml:space="preserve">La polymérisation des « polymères MS » (modifiés silane), ou plus généralement des polymères dits hybrides, est une réaction dont la cinétique peut être beaucoup plus lente que dans les cas des mastics de scellement traditionnellement utilisés en Europe. Cette réaction peut aboutir à un mastic de module élastique très supérieur à celui des mastics traditionnels, pouvant impacter la durabilité de la barrière de scellement et induire un risque accru de casse des composants verriers. </w:t>
      </w:r>
    </w:p>
    <w:p>
      <w:pPr/>
      <w:r>
        <w:rPr/>
        <w:t xml:space="preserve">Pour ces raisons, le Groupe Spécialisé n°6 considère que les mastics de scellement MS ou « hybrides » constituent des technologies non traditionnelles dont l’évaluation relève de la procédure d’Avis Technique de la CCFAT.</w:t>
      </w:r>
    </w:p>
    <w:p>
      <w:pPr>
        <w:ind w:left="720" w:right="0"/>
      </w:pPr>
      <w:r>
        <w:rPr>
          <w:rStyle w:val="font_h2"/>
        </w:rPr>
        <w:t xml:space="preserve">2.4. 9 avril 2015 Déformations admissibles des calages des vitrages isolants.</w:t>
      </w:r>
    </w:p>
    <w:p>
      <w:pPr/>
      <w:r>
        <w:rPr/>
        <w:t xml:space="preserve">Validé par le Groupe Spécialisé le 11/06/2015</w:t>
      </w:r>
    </w:p>
    <w:p>
      <w:pPr/>
      <w:r>
        <w:rPr>
          <w:b/>
          <w:bCs/>
        </w:rPr>
        <w:t xml:space="preserve">Description</w:t>
      </w:r>
    </w:p>
    <w:p>
      <w:pPr/>
      <w:r>
        <w:rPr/>
        <w:t xml:space="preserve">Le cahier des Prescriptions Techniques Générales de CEKAL relatif aux vitrages isolants précise que pour les bords de référence, le décalage doit être inférieur ou égal à 1mm. Par ailleurs, dans certaines configurations de châssis (châssis à ouvrants cachés par exemple) la déformation des systèmes de calage est limitée à 0,5mm maximum, dans le cas de doubles vitrages et de 1mm maximum dans le cas de triples vitrages (0,5mm pour chacun des composants verriers intermédiaires et extérieurs).</w:t>
      </w:r>
    </w:p>
    <w:p>
      <w:pPr/>
      <w:r>
        <w:rPr/>
        <w:t xml:space="preserve">Compte tenu de l’absence de connaissances sur les efforts induits au regard du cisaillement dans les différents systèmes de scellement des vitrages isolants, il est retenu de limiter les déformations des systèmes de calage aux valeurs indiquées ci-avant.</w:t>
      </w:r>
    </w:p>
    <w:p>
      <w:pPr>
        <w:ind w:left="720" w:right="0"/>
      </w:pPr>
      <w:r>
        <w:rPr>
          <w:rStyle w:val="font_h2"/>
        </w:rPr>
        <w:t xml:space="preserve">2.5. 9 avril 2015 Augmentation des efforts par unité de longueur dans les systèmes de scellement des vitrages isolants pris en feuillure sur 4 côtés.</w:t>
      </w:r>
    </w:p>
    <w:p>
      <w:pPr/>
      <w:r>
        <w:rPr/>
        <w:t xml:space="preserve">Validé par le Groupe Spécialisé le 11/06/2015</w:t>
      </w:r>
    </w:p>
    <w:p>
      <w:pPr/>
      <w:r>
        <w:rPr>
          <w:b/>
          <w:bCs/>
        </w:rPr>
        <w:t xml:space="preserve">Description</w:t>
      </w:r>
    </w:p>
    <w:p>
      <w:pPr/>
      <w:r>
        <w:rPr/>
        <w:t xml:space="preserve">Le Groupe Spécialisé n°6 a pris connaissance des résultats des différents essais réalisés dans le cadre de la certification CEKAL pour retenir un effort maximal par unité de longueur dans les joints de scellement de 1,12 daN/cm.</w:t>
      </w:r>
    </w:p>
    <w:p>
      <w:pPr/>
      <w:r>
        <w:rPr/>
        <w:t xml:space="preserve">Compte tenu, d’une part des résultats obtenus et que d’autre part les essais de suivi sont lancés depuis 2015 sur cette nouvelle base, le Groupe Spécialisé n°6 a convenu de suivre les prescritpions de CEKAL.</w:t>
      </w:r>
    </w:p>
    <w:p>
      <w:pPr/>
      <w:r>
        <w:rPr/>
        <w:t xml:space="preserve">Il a cependant retenu qu’un examen complémentaire devrait être réalisé en fonction du retour d’expérience sur la base des résultats des essais obtenus dans cette nouvelle configuration.</w:t>
      </w:r>
    </w:p>
    <w:p>
      <w:pPr>
        <w:ind w:left="720" w:right="0"/>
      </w:pPr>
      <w:r>
        <w:rPr>
          <w:rStyle w:val="font_h2"/>
        </w:rPr>
        <w:t xml:space="preserve">2.6. 9 avril 2015 Label SNJF VI VEC et certification CEKAL VEC</w:t>
      </w:r>
    </w:p>
    <w:p>
      <w:pPr/>
      <w:r>
        <w:rPr/>
        <w:t xml:space="preserve">Validé par le Groupe Spécialisé le 11/06/2015</w:t>
      </w:r>
    </w:p>
    <w:p>
      <w:pPr/>
      <w:r>
        <w:rPr>
          <w:b/>
          <w:bCs/>
        </w:rPr>
        <w:t xml:space="preserve">Description</w:t>
      </w:r>
    </w:p>
    <w:p>
      <w:pPr/>
      <w:r>
        <w:rPr/>
        <w:t xml:space="preserve">Le label SNJF VI VEC atteste de la conformité, au regard du guide EOTA 002, relatif aux systèmes de vitrages extérieurs collés et donne des contraintes de travail admissibles. La certification CEKAL VEC fait l’objet d’un référentiel distinct permettant en outre d’avoir une meilleure visibilité au regard des potentielles évolutions des mastics de scellement VEC.</w:t>
      </w:r>
    </w:p>
    <w:p>
      <w:pPr/>
      <w:r>
        <w:rPr/>
        <w:t xml:space="preserve">Par ailleurs, le cahier CSTB 3488-V2 « Vitrages extérieurs collés » fait référence d’une part au guide EOTA cité ci-avant et à la certification CEKAL VEC.</w:t>
      </w:r>
    </w:p>
    <w:p>
      <w:pPr/>
      <w:r>
        <w:rPr/>
        <w:t xml:space="preserve">En conséquence, le Groupe Spécialisé n°6 demande que les mastics de scellement VEC fassent l’objet, d’une part du label SNJF VI VEC et d’autre part de la certification CEKAL VEC.</w:t>
      </w:r>
    </w:p>
    <w:p>
      <w:pPr>
        <w:ind w:left="720" w:right="0"/>
      </w:pPr>
      <w:r>
        <w:rPr>
          <w:rStyle w:val="font_h2"/>
        </w:rPr>
        <w:t xml:space="preserve">2.7. 3 octobre 2019 - essai de pénétration d’humidité dans le cas d’une température atteinte dans la lame de gaz dépassant 60°C/65°C</w:t>
      </w:r>
    </w:p>
    <w:p>
      <w:pPr/>
      <w:r>
        <w:rPr/>
        <w:t xml:space="preserve">Validé par le Groupe Spécialisé le 03/10/2019</w:t>
      </w:r>
    </w:p>
    <w:p>
      <w:pPr/>
      <w:r>
        <w:rPr>
          <w:b/>
          <w:bCs/>
        </w:rPr>
        <w:t xml:space="preserve">Description</w:t>
      </w:r>
    </w:p>
    <w:p>
      <w:pPr>
        <w:pPr/>
        <w:numPr>
          <w:ilvl w:val="0"/>
          <w:numId w:val="9"/>
        </w:numPr>
      </w:pPr>
      <w:r>
        <w:rPr/>
        <w:t xml:space="preserve">Vitrages concernés :Dans le cas d’un vitrage pour lequel la température dans la lame d’air/gaz dépasse 60°C (ou 65°C si l’effort dans le joint de scellement est inférieur à 0,60 daN/cm), il est nécessaire, dans le cadre d’une procédure d’évaluation, de réaliser un essai spécifique de pénétration d’humidité avecmesures de gaz.</w:t>
      </w:r>
    </w:p>
    <w:p>
      <w:pPr/>
      <w:r>
        <w:rPr/>
        <w:t xml:space="preserve">Le champ d’application est limité aux situations suivantes :</w:t>
      </w:r>
    </w:p>
    <w:p>
      <w:pPr/>
      <w:r>
        <w:rPr/>
        <w:t xml:space="preserve"> - La température dans la lame d’air est limitée à 85°C ; - Le mastic de scellement doit appartenir à la famille des mastics silicone ; - Il n’est pas demandé de justification complémentaire sur l’évaluation de la couleur pour les espaceurs de type warm-edge sous DTA jusqu’à une température de 70°C. Au-delà de 70°C, il sera exclusivement utilisé soit des espaceurs métalliques, soit des espaceurs warm-edge visés par un DTA permettant une utilisation à la température considérée.- Méthode d’essai :</w:t>
      </w:r>
    </w:p>
    <w:p>
      <w:pPr/>
      <w:r>
        <w:rPr/>
        <w:t xml:space="preserve">La méthode d’essai est basée sur le principe de la méthode retenue pour les vitrages photovoltaïques.</w:t>
      </w:r>
    </w:p>
    <w:p>
      <w:pPr/>
      <w:r>
        <w:rPr/>
        <w:t xml:space="preserve">Essai suivant l’annexe B du DTU 39 P1-2 avec, Tmax étant la température maximale calculée.Cycles climatiques réalisés entre -15°C et Tmax.Périodes HH-HT : température = Tmax et Taux d’humidité relative à Tmax équivalent au Taux d’humidité absolue à 56,5°C (un tableau donnant les taux d’humidité relative en fonction de la température sera établi pour la réunion du GS6 du 5 décembre).</w:t>
      </w:r>
    </w:p>
    <w:p>
      <w:pPr>
        <w:ind w:left="720" w:right="0"/>
      </w:pPr>
      <w:r>
        <w:rPr>
          <w:rStyle w:val="font_h2"/>
        </w:rPr>
        <w:t xml:space="preserve">2.8. 5 février 2020 - Vitrages isolants : nécessité de disposer d’un essai de pénétration d’humidité avec critère d’indice I </w:t>
      </w:r>
    </w:p>
    <w:p>
      <w:pPr/>
      <w:r>
        <w:rPr/>
        <w:t xml:space="preserve">Validé par le Groupe Spécialisé le 05/02/2020</w:t>
      </w:r>
    </w:p>
    <w:p>
      <w:pPr/>
      <w:r>
        <w:rPr>
          <w:b/>
          <w:bCs/>
        </w:rPr>
        <w:t xml:space="preserve">Description</w:t>
      </w:r>
    </w:p>
    <w:p>
      <w:pPr/>
      <w:r>
        <w:rPr/>
        <w:t xml:space="preserve">‐ Vitrages concernés :Vitrages isolants pour lesquels il peut exister un risque accru d’exposition à l’humidité : vitragesisolants de verrières, vitrages isolants des systèmes respirants, VEA, vitrages à clameaux, vitrages bord à bord.</w:t>
      </w:r>
    </w:p>
    <w:p>
      <w:pPr/>
      <w:r>
        <w:rPr/>
        <w:t xml:space="preserve">‐ Respect du critère :</w:t>
      </w:r>
    </w:p>
    <w:p>
      <w:pPr/>
      <w:r>
        <w:rPr/>
        <w:t xml:space="preserve">Dans le cadre d’une procédure d’évaluation, si le vitrage est produit par un centre certifié CEKAL et dans le périmètre du certificat de ce centre, ce centre doit fournir les deux derniers rapports d’essais réalisés dans le cadre du suivi CEKAL dans la famille de scellement considérée et datant de moins de deux ans, avec un indice I dont la valeur est inférieure à 0,1.</w:t>
      </w:r>
    </w:p>
    <w:p>
      <w:pPr/>
      <w:r>
        <w:rPr/>
        <w:t xml:space="preserve">Il est également possible de réaliser un essai spécifique en respectant la composition du projet, la valeur d’indice I devant être inférieure à 0,1.Cette règle est valable pour les vitrages intégrant des espaceurs mousse (cas des vitrages isolants bombés), les essais étant réalisés sur des vitrages plans permettant d’atteindre la valeur d’effort dans le joint de scellement de 1,12 daN/cm dans le joint de scellement pendant l’essai.</w:t>
      </w:r>
    </w:p>
    <w:p>
      <w:pPr>
        <w:ind w:left="720" w:right="0"/>
      </w:pPr>
      <w:r>
        <w:rPr>
          <w:rStyle w:val="font_h2"/>
        </w:rPr>
        <w:t xml:space="preserve">2.9. 3 octobre 2019 - Vitrages isolants : nécessité de disposer d’un rapport d’essai de pénétration d’humidité avec UV</w:t>
      </w:r>
    </w:p>
    <w:p>
      <w:pPr/>
      <w:r>
        <w:rPr/>
        <w:t xml:space="preserve">Validé par le Groupe Spécialisé le 03/10/2019</w:t>
      </w:r>
    </w:p>
    <w:p>
      <w:pPr/>
      <w:r>
        <w:rPr>
          <w:b/>
          <w:bCs/>
        </w:rPr>
        <w:t xml:space="preserve">Description</w:t>
      </w:r>
    </w:p>
    <w:p>
      <w:pPr>
        <w:pPr/>
        <w:numPr>
          <w:ilvl w:val="0"/>
          <w:numId w:val="10"/>
        </w:numPr>
      </w:pPr>
      <w:r>
        <w:rPr/>
        <w:t xml:space="preserve">Règle retenue :Rappel : chaque usine certifiée CEKAL doit réaliser un essai avec UV pour obtenir la certification pour chaque famille de scellement, les essais de suivi sont par contre réalisés sans UV.</w:t>
      </w:r>
    </w:p>
    <w:p>
      <w:pPr/>
      <w:r>
        <w:rPr/>
        <w:t xml:space="preserve">Il est retenu dans le cas d’une procédure d’évaluation : dans le cas de l’utilisation d’un mastic de scellement silicone, des comptes-rendus d’essais réalisés sans UV sont recevables</w:t>
      </w:r>
    </w:p>
    <w:p>
      <w:pPr>
        <w:ind w:left="720" w:right="0"/>
      </w:pPr>
      <w:r>
        <w:rPr>
          <w:rStyle w:val="font_h2"/>
        </w:rPr>
        <w:t xml:space="preserve">2.10. 3 octobre 2019 - Critère d’efforts dans les joints de scellement de 1,12 daN/cm</w:t>
      </w:r>
    </w:p>
    <w:p>
      <w:pPr/>
      <w:r>
        <w:rPr/>
        <w:t xml:space="preserve">Validé par le Groupe Spécialisé le 03/10/2019</w:t>
      </w:r>
    </w:p>
    <w:p>
      <w:pPr/>
      <w:r>
        <w:rPr>
          <w:b/>
          <w:bCs/>
        </w:rPr>
        <w:t xml:space="preserve">Description</w:t>
      </w:r>
    </w:p>
    <w:p>
      <w:pPr>
        <w:pPr/>
        <w:numPr>
          <w:ilvl w:val="0"/>
          <w:numId w:val="11"/>
        </w:numPr>
      </w:pPr>
      <w:r>
        <w:rPr/>
        <w:t xml:space="preserve">Constat :Pour les vitrages soumis à des efforts dans le joint de scellement de 1,12 daN/cm, on observe un indice de pénétration de l’humidité, et une perte de gaz, sensiblement supérieurs à des vitrages soumis à des efforts dans le joint de scellement de 0,95 daN/cm. Toutefois, les résultats restent éloignés des limites acceptées.</w:t>
      </w:r>
    </w:p>
    <w:p>
      <w:pPr>
        <w:pPr/>
        <w:numPr>
          <w:ilvl w:val="1"/>
          <w:numId w:val="11"/>
        </w:numPr>
      </w:pPr>
      <w:r>
        <w:rPr/>
        <w:t xml:space="preserve">Décision :La limite d’efforts dans le joint de scellement de 1,12 daN/cm est acceptable pour les vitrages VEC. Pour maintenir le niveau de durabilité actuel, il est retenu un critère d’indice I de 0,1.</w:t>
      </w:r>
    </w:p>
    <w:p>
      <w:pPr/>
      <w:r>
        <w:rPr/>
        <w:t xml:space="preserve">Dans une situation où le(s) rapport(s) d’essai contien(nen)t uniquement une mesure de température de point de rosée, et pas de résultat de mesure d’indice I (cas par exemple des vitrages intégrant des espaceurs mousse, la mesure d’indice I n’étant pour ces vitrages pas prévu dans le cadre de la certification CEKAL), le critère retenu est une température de point de rosée ≤ -60°C, et dans ce cas il est retenu une limite d’efforts dans le joint de scellement de 0,95 daN/cm.</w:t>
      </w:r>
    </w:p>
    <w:p>
      <w:pPr>
        <w:ind w:left="720" w:right="0"/>
      </w:pPr>
      <w:r>
        <w:rPr>
          <w:rStyle w:val="font_h2"/>
        </w:rPr>
        <w:t xml:space="preserve">2.11. 3 octobre 2019 - Liste minimale des éléments de preuve -  Vitrage à clameaux</w:t>
      </w:r>
    </w:p>
    <w:p>
      <w:pPr/>
      <w:r>
        <w:rPr/>
        <w:t xml:space="preserve">Validé par le Groupe Spécialisé le 03/10/2019</w:t>
      </w:r>
    </w:p>
    <w:p>
      <w:pPr/>
      <w:r>
        <w:rPr>
          <w:b/>
          <w:bCs/>
        </w:rPr>
        <w:t xml:space="preserve">Description</w:t>
      </w:r>
    </w:p>
    <w:p>
      <w:pPr/>
      <w:r>
        <w:rPr/>
        <w:t xml:space="preserve">Les éléments attendus dans le cadre d’une évaluation sont les suivants :</w:t>
      </w:r>
    </w:p>
    <w:p>
      <w:pPr/>
      <w:r>
        <w:rPr/>
        <w:t xml:space="preserve">a. Description des vitrages, et des éléments du système de façade en interface directe, notamment :</w:t>
      </w:r>
    </w:p>
    <w:p>
      <w:pPr/>
      <w:r>
        <w:rPr/>
        <w:t xml:space="preserve"> i. Description des composants : composants verriers et leur traitement de bord et traitement thermique, mastic de scellement, espaceur, profilés ponctuels ou filants, gaz, clameaux, cales, dispositifs de maintien, autres :      - Préciser les références, les fabricants, les marquages/identifications.      - Fournir les fiches techniques.      - Fournir le plan des profilés avec cotes et tolérances de fabrication. ii. Dimensions maximales et minimales des composants verriers et de la lame d’air/gaz et tolérances de fabrication associées. iii. Schéma des sections dans le plan des vitrages (schématisant le positionnement des profilés sur la périphérie) et dans un plan perpendiculaire (schématisant la géométrie de la barrière périphérique) avec les cotes et les tolérances associées. iv. Schéma du positionnement des clameaux sur la périphérie des vitrages et de sa cote de prise dans les profilés (préciser les valeurs de cote mini et maxi). v. Description des dispositifs de sécurité et de calage, avec schémas.</w:t>
      </w:r>
    </w:p>
    <w:p>
      <w:pPr/>
      <w:r>
        <w:rPr/>
        <w:t xml:space="preserve">b. Mastic de scellement : ETE à fournir, label SNJF-VI VEC, enregistrement CEKAL.</w:t>
      </w:r>
    </w:p>
    <w:p>
      <w:pPr/>
      <w:r>
        <w:rPr/>
        <w:t xml:space="preserve">c. Matériau du profilé :Dans le cas de profilés métalliques en aluminium anodisé ou acier inoxydable répondant à la description du cahier VEC, il n’est pas demandé de justification spécifique relative à la durabilité du matériau.</w:t>
      </w:r>
    </w:p>
    <w:p>
      <w:pPr/>
      <w:r>
        <w:rPr/>
        <w:t xml:space="preserve">Dans le cas de profilés en matière de synthèse :</w:t>
      </w:r>
    </w:p>
    <w:p>
      <w:pPr/>
      <w:r>
        <w:rPr/>
        <w:t xml:space="preserve">      - Des essais d’identification sont nécessaires, et propriétés mécaniques (résistance à la traction et à la compression) à neuf et après vieillissements doivent être déclarés. Les propriétés mécaniques à neuf et après vieillissement doivent être justifiées par des rapports d’essai, les vieillissements sont effectués sur la base suivante : résistance aux hautes températures (1000 h à T max + 5°C) et résistance à l’humidité (1000 h à T max + 5°C et 85%HR). Par défaut T max = 60°C.      - Conductivité thermique (avec rapport d’essai associé) à fournir.      - Résistance aux agents chimiques à justifier : résistance aux agents de nettoyage, et aux atmosphères salines et soufrés (les essais du § f permettent de couvrir les atmosphères salines et soufrés).</w:t>
      </w:r>
    </w:p>
    <w:p>
      <w:pPr/>
      <w:r>
        <w:rPr/>
        <w:t xml:space="preserve">d. Essais suivant annexe B du NF DTU 39 P1-2 (168 cycles), sans UV. Critère : i</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5EA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5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F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2026-01-18T01:47:52+01:00</dcterms:created>
  <dcterms:modified xsi:type="dcterms:W3CDTF">2026-01-18T01:47:52+01:00</dcterms:modified>
</cp:coreProperties>
</file>

<file path=docProps/custom.xml><?xml version="1.0" encoding="utf-8"?>
<Properties xmlns="http://schemas.openxmlformats.org/officeDocument/2006/custom-properties" xmlns:vt="http://schemas.openxmlformats.org/officeDocument/2006/docPropsVTypes"/>
</file>