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suspendu extérieur</w:t>
      </w:r>
    </w:p>
    <w:p>
      <w:pPr/>
      <w:r>
        <w:rPr>
          <w:rStyle w:val="font_h1"/>
        </w:rPr>
        <w:t xml:space="preserve">1. Durabilité des éléments d’ossature et de suspension</w:t>
      </w:r>
    </w:p>
    <w:p>
      <w:pPr/>
      <w:r>
        <w:rPr/>
        <w:t xml:space="preserve">Validé par le Groupe Spécialisé le 18/06/2026</w:t>
      </w:r>
    </w:p>
    <w:p>
      <w:pPr/>
      <w:r>
        <w:rPr>
          <w:b/>
          <w:bCs/>
        </w:rPr>
        <w:t xml:space="preserve">Description</w:t>
      </w:r>
    </w:p>
    <w:p>
      <w:pPr/>
      <w:r>
        <w:rPr/>
        <w:t xml:space="preserve">Jurisprudence du 18/06/2026 :Pour tout assemblage non homogène comportant un contact direct entre métaux différents pouvant induire un risque de corrosion galvanique, une analyse de risques complémentaire est obligatoire (couple galvanique, durabilité, exposition).Lorsque l’usage de matériaux non homogènes est techniquement incontournable, des mesures compensatoires peuvent être proposées afin de réduire ou neutraliser le risque, sans toutefois dispenser d’une justification robuste sur la durabilité attendue.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2026-07-17T01:37:30+02:00</dcterms:created>
  <dcterms:modified xsi:type="dcterms:W3CDTF">2026-07-17T01:37:30+02:00</dcterms:modified>
</cp:coreProperties>
</file>

<file path=docProps/custom.xml><?xml version="1.0" encoding="utf-8"?>
<Properties xmlns="http://schemas.openxmlformats.org/officeDocument/2006/custom-properties" xmlns:vt="http://schemas.openxmlformats.org/officeDocument/2006/docPropsVTypes"/>
</file>