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PVC</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t xml:space="preserve">Validé par le Groupe Spécialisé le 14/11/2024</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(à une fréquence d'au moins un essai par an),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pPr/>
        <w:numPr>
          <w:ilvl w:val="0"/>
          <w:numId w:val="10"/>
        </w:numPr>
      </w:pPr>
      <w:r>
        <w:rPr/>
        <w:t xml:space="preserve">Dans le cas particulier de produit à couche d'usure tissée si revendication du classement U3s P3, justification de la résistance à l’usure ainsi qu’à l’encrassement en présence depoussière</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si requise,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295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8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B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09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2026-06-25T10:57:12+02:00</dcterms:created>
  <dcterms:modified xsi:type="dcterms:W3CDTF">2026-06-25T10:57:12+02:00</dcterms:modified>
</cp:coreProperties>
</file>

<file path=docProps/custom.xml><?xml version="1.0" encoding="utf-8"?>
<Properties xmlns="http://schemas.openxmlformats.org/officeDocument/2006/custom-properties" xmlns:vt="http://schemas.openxmlformats.org/officeDocument/2006/docPropsVTypes"/>
</file>