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usage sportif associant un revêtement de sol résilient et un complexe de doublage en pose désolidarisée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Le cas échéant et lorsque requis, performances de collage après action de l'eau et re-séchage dans les conditions prévues par les normes d'essais de référence</w:t>
      </w:r>
    </w:p>
    <w:p>
      <w:pPr>
        <w:pPr/>
        <w:numPr>
          <w:ilvl w:val="0"/>
          <w:numId w:val="11"/>
        </w:numPr>
      </w:pPr>
      <w:r>
        <w:rPr/>
        <w:t xml:space="preserve">Le cas échéant, performances de collage de la bande adhésive après vieillissement chaleur / humidité et sensibilité ou non à la migration de constituants</w:t>
      </w:r>
    </w:p>
    <w:p>
      <w:pPr>
        <w:pPr/>
        <w:numPr>
          <w:ilvl w:val="0"/>
          <w:numId w:val="11"/>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C55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2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E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C8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2026-07-09T03:09:18+02:00</dcterms:created>
  <dcterms:modified xsi:type="dcterms:W3CDTF">2026-07-09T03:09:18+02:00</dcterms:modified>
</cp:coreProperties>
</file>

<file path=docProps/custom.xml><?xml version="1.0" encoding="utf-8"?>
<Properties xmlns="http://schemas.openxmlformats.org/officeDocument/2006/custom-properties" xmlns:vt="http://schemas.openxmlformats.org/officeDocument/2006/docPropsVTypes"/>
</file>