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03/11/2025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associant une sous-couche à un revêtement à usage bâtiment</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Fiches de déclarations environnementales, si existantes, des revêtements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système :Sous-couches d’interposition : perméabilité à la vapeur d’eau de la sous-couche </w:t>
      </w:r>
    </w:p>
    <w:p>
      <w:pPr>
        <w:pPr/>
        <w:numPr>
          <w:ilvl w:val="0"/>
          <w:numId w:val="13"/>
        </w:numPr>
      </w:pPr>
      <w:r>
        <w:rPr/>
        <w:t xml:space="preserve">Classement de réaction au feu du système pour les différentes configurations et sur les différentes natures de supports admis pour la pose </w:t>
      </w:r>
    </w:p>
    <w:p>
      <w:pPr>
        <w:pPr/>
        <w:numPr>
          <w:ilvl w:val="0"/>
          <w:numId w:val="13"/>
        </w:numPr>
      </w:pPr>
      <w:r>
        <w:rPr/>
        <w:t xml:space="preserve">Certificats NF-UPEC ou NF-UPEC.A+ en cours de validité, le cas échéant, des revêtements de sol associés, ou bien : Caractéristiques d’identification et de construction des revêtements associés </w:t>
      </w:r>
    </w:p>
    <w:p>
      <w:pPr>
        <w:pPr/>
        <w:numPr>
          <w:ilvl w:val="0"/>
          <w:numId w:val="13"/>
        </w:numPr>
      </w:pPr>
      <w:r>
        <w:rPr/>
        <w:t xml:space="preserve">Caractéristiques d’aptitude à l’emploi (résistance à l’usure) des revêtements associés, en conformité avec les normes produit applicables et les domaines d’emploi revendiqués </w:t>
      </w:r>
    </w:p>
    <w:p>
      <w:pPr>
        <w:pPr/>
        <w:numPr>
          <w:ilvl w:val="0"/>
          <w:numId w:val="13"/>
        </w:numPr>
      </w:pPr>
      <w:r>
        <w:rPr/>
        <w:t xml:space="preserve">Durabilité et propriétés mécaniques du système (résistance au poinçonnement statique, au trafic roulant, au déplacement de meubles, stabilité dimensionnelle à la chaleur), en fonction du domaine d’emploi revendiqué </w:t>
      </w:r>
    </w:p>
    <w:p>
      <w:pPr>
        <w:pPr/>
        <w:numPr>
          <w:ilvl w:val="0"/>
          <w:numId w:val="13"/>
        </w:numPr>
      </w:pPr>
      <w:r>
        <w:rPr/>
        <w:t xml:space="preserve">Dans le cas d’un système avec revêtement de type lames ou dalles LVT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3"/>
        </w:numPr>
      </w:pPr>
      <w:r>
        <w:rPr/>
        <w:t xml:space="preserve">Caractéristiques thermiques du système si emploi sur plancher chauffant revendiqué </w:t>
      </w:r>
    </w:p>
    <w:p>
      <w:pPr>
        <w:pPr/>
        <w:numPr>
          <w:ilvl w:val="0"/>
          <w:numId w:val="13"/>
        </w:numPr>
      </w:pPr>
      <w:r>
        <w:rPr/>
        <w:t xml:space="preserve">Comportement et durabilité du système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Caractéristiques d’identification et de performances mécaniques de la sous-couche </w:t>
      </w:r>
    </w:p>
    <w:p>
      <w:pPr>
        <w:pPr/>
        <w:numPr>
          <w:ilvl w:val="0"/>
          <w:numId w:val="13"/>
        </w:numPr>
      </w:pPr>
      <w:r>
        <w:rPr/>
        <w:t xml:space="preserve">Durabilité à l’usage de la performance acoustique si requise pour le domaine d’emploi revendiqué ou revendiquée pour les configurations considérée </w:t>
      </w:r>
    </w:p>
    <w:p>
      <w:pPr>
        <w:pPr/>
        <w:numPr>
          <w:ilvl w:val="0"/>
          <w:numId w:val="13"/>
        </w:numPr>
      </w:pPr>
      <w:r>
        <w:rPr/>
        <w:t xml:space="preserve">Tenue du plan de collage ou du maintien revêtement/sous-couche et/ou système/support (résistance au pelage, au cisaillement, réversibilité à l’humidité) si collage ou maintien requis pour le système considéré, en fonction des types d’envers des revêtements associés, des produits de collage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 </w:t>
      </w:r>
    </w:p>
    <w:p>
      <w:pPr>
        <w:pPr/>
        <w:numPr>
          <w:ilvl w:val="0"/>
          <w:numId w:val="13"/>
        </w:numPr>
      </w:pPr>
      <w:r>
        <w:rPr/>
        <w:t xml:space="preserve">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règles de l’art : Justification de la conformité vis à vis des différentes règles (écrites ou non) concernant les ouvrages visés : DTU, CPT, …</w:t>
      </w:r>
    </w:p>
    <w:p>
      <w:pPr>
        <w:pPr/>
        <w:numPr>
          <w:ilvl w:val="0"/>
          <w:numId w:val="14"/>
        </w:numPr>
      </w:pPr>
      <w:r>
        <w:rPr/>
        <w:t xml:space="preserve">Conformité aux réglementations contre les risques de panique et d'incendie </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Mise en oeuvre</w:t>
      </w:r>
    </w:p>
    <w:p>
      <w:pPr/>
      <w:r>
        <w:rPr/>
        <w:t xml:space="preserve">Validé par le Groupe Spécialisé le 14/02/2019</w:t>
      </w:r>
    </w:p>
    <w:p>
      <w:pPr/>
      <w:r>
        <w:rPr>
          <w:b/>
          <w:bCs/>
        </w:rPr>
        <w:t xml:space="preserve">Description</w:t>
      </w:r>
    </w:p>
    <w:p>
      <w:pPr>
        <w:pPr/>
        <w:numPr>
          <w:ilvl w:val="0"/>
          <w:numId w:val="21"/>
        </w:numPr>
      </w:pPr>
      <w:r>
        <w:rPr/>
        <w:t xml:space="preserve">Préconisations de mise en œuvre : </w:t>
      </w:r>
    </w:p>
    <w:p>
      <w:pPr>
        <w:pPr/>
        <w:numPr>
          <w:ilvl w:val="1"/>
          <w:numId w:val="21"/>
        </w:numPr>
      </w:pPr>
      <w:r>
        <w:rPr/>
        <w:t xml:space="preserve">Supports admis pour la pose et exigences relatives aux supports</w:t>
      </w:r>
    </w:p>
    <w:p>
      <w:pPr>
        <w:pPr/>
        <w:numPr>
          <w:ilvl w:val="1"/>
          <w:numId w:val="21"/>
        </w:numPr>
      </w:pPr>
      <w:r>
        <w:rPr/>
        <w:t xml:space="preserve">Reconnaissance et préparation des supports </w:t>
      </w:r>
    </w:p>
    <w:p>
      <w:pPr>
        <w:pPr/>
        <w:numPr>
          <w:ilvl w:val="1"/>
          <w:numId w:val="21"/>
        </w:numPr>
      </w:pPr>
      <w:r>
        <w:rPr/>
        <w:t xml:space="preserve">Conditions de stockage des produits sur le chantier</w:t>
      </w:r>
    </w:p>
    <w:p>
      <w:pPr>
        <w:pPr/>
        <w:numPr>
          <w:ilvl w:val="1"/>
          <w:numId w:val="21"/>
        </w:numPr>
      </w:pPr>
      <w:r>
        <w:rPr/>
        <w:t xml:space="preserve">Conditions de température et hygrométrie minimale et maximale pour la pose (ambiante et support)</w:t>
      </w:r>
    </w:p>
    <w:p>
      <w:pPr>
        <w:pPr/>
        <w:numPr>
          <w:ilvl w:val="1"/>
          <w:numId w:val="21"/>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1"/>
        </w:numPr>
      </w:pPr>
      <w:r>
        <w:rPr/>
        <w:t xml:space="preserve">Traitements des points singuliers  à considérer (joints du support (retrait, construction, dilatation), rives et plinthes, raccordements sol/sol, fractionnement du revêtement …) </w:t>
      </w:r>
    </w:p>
    <w:p>
      <w:pPr>
        <w:pPr/>
        <w:numPr>
          <w:ilvl w:val="1"/>
          <w:numId w:val="21"/>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2"/>
        </w:numPr>
      </w:pPr>
      <w:r>
        <w:rPr/>
        <w:t xml:space="preserve">Cahier des charges ou Notice de mise en œuvre</w:t>
      </w:r>
    </w:p>
    <w:p>
      <w:pPr>
        <w:pPr/>
        <w:numPr>
          <w:ilvl w:val="0"/>
          <w:numId w:val="22"/>
        </w:numPr>
      </w:pPr>
      <w:r>
        <w:rPr/>
        <w:t xml:space="preserve">Fiches techniques des produits et matériaux associés</w:t>
      </w:r>
    </w:p>
    <w:p>
      <w:pPr>
        <w:pPr/>
        <w:numPr>
          <w:ilvl w:val="0"/>
          <w:numId w:val="22"/>
        </w:numPr>
      </w:pPr>
      <w:r>
        <w:rPr/>
        <w:t xml:space="preserve">Pour les produits de mise en œuvre : accords des fabricants pour l'emploi dans les conditions prévues</w:t>
      </w:r>
    </w:p>
    <w:p>
      <w:pPr>
        <w:pPr/>
        <w:numPr>
          <w:ilvl w:val="0"/>
          <w:numId w:val="22"/>
        </w:numPr>
      </w:pPr>
      <w:r>
        <w:rPr/>
        <w:t xml:space="preserve">Schémas de traitement des points singuliers le cas échéant ( schémas cotés, lisibles, réalistes..)</w:t>
      </w:r>
    </w:p>
    <w:p>
      <w:pPr/>
      <w:r>
        <w:rPr>
          <w:b/>
          <w:bCs/>
        </w:rPr>
        <w:t xml:space="preserve">Critères d'évaluation</w:t>
      </w:r>
    </w:p>
    <w:p>
      <w:pPr>
        <w:pPr/>
        <w:numPr>
          <w:ilvl w:val="0"/>
          <w:numId w:val="23"/>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3"/>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4"/>
        </w:numPr>
      </w:pPr>
      <w:r>
        <w:rPr/>
        <w:t xml:space="preserve">Conditions de mise en service dans les limites d'emploi préconisées</w:t>
      </w:r>
    </w:p>
    <w:p>
      <w:pPr/>
      <w:r>
        <w:rPr>
          <w:b/>
          <w:bCs/>
        </w:rPr>
        <w:t xml:space="preserve">Justification</w:t>
      </w:r>
    </w:p>
    <w:p>
      <w:pPr>
        <w:pPr/>
        <w:numPr>
          <w:ilvl w:val="0"/>
          <w:numId w:val="25"/>
        </w:numPr>
      </w:pPr>
      <w:r>
        <w:rPr/>
        <w:t xml:space="preserve">Délais de mise en service en fonction : </w:t>
      </w:r>
    </w:p>
    <w:p>
      <w:pPr>
        <w:pPr/>
        <w:numPr>
          <w:ilvl w:val="1"/>
          <w:numId w:val="25"/>
        </w:numPr>
      </w:pPr>
      <w:r>
        <w:rPr/>
        <w:t xml:space="preserve">Des conditions ambiantes </w:t>
      </w:r>
    </w:p>
    <w:p>
      <w:pPr>
        <w:pPr/>
        <w:numPr>
          <w:ilvl w:val="1"/>
          <w:numId w:val="25"/>
        </w:numPr>
      </w:pPr>
      <w:r>
        <w:rPr/>
        <w:t xml:space="preserve">Des délais de prise des produits</w:t>
      </w:r>
    </w:p>
    <w:p>
      <w:pPr>
        <w:pPr/>
        <w:numPr>
          <w:ilvl w:val="1"/>
          <w:numId w:val="25"/>
        </w:numPr>
      </w:pPr>
      <w:r>
        <w:rPr/>
        <w:t xml:space="preserve">De la fin de l'ensemble des travaux</w:t>
      </w:r>
    </w:p>
    <w:p>
      <w:pPr/>
      <w:r>
        <w:rPr>
          <w:b/>
          <w:bCs/>
        </w:rPr>
        <w:t xml:space="preserve">Critères d'évaluation</w:t>
      </w:r>
    </w:p>
    <w:p>
      <w:pPr>
        <w:pPr/>
        <w:numPr>
          <w:ilvl w:val="0"/>
          <w:numId w:val="26"/>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27"/>
        </w:numPr>
      </w:pPr>
      <w:r>
        <w:rPr/>
        <w:t xml:space="preserve">Préconisations d'entretien, de surveillance et de maintenance du système en œuvre</w:t>
      </w:r>
    </w:p>
    <w:p>
      <w:pPr/>
      <w:r>
        <w:rPr>
          <w:b/>
          <w:bCs/>
        </w:rPr>
        <w:t xml:space="preserve">Justification</w:t>
      </w:r>
    </w:p>
    <w:p>
      <w:pPr>
        <w:pPr/>
        <w:numPr>
          <w:ilvl w:val="0"/>
          <w:numId w:val="28"/>
        </w:numPr>
      </w:pPr>
      <w:r>
        <w:rPr/>
        <w:t xml:space="preserve">Notice d’entretien, de surveillance et de maintenance du système en œuvre, à en tête du fabricant/concepteur</w:t>
      </w:r>
    </w:p>
    <w:p>
      <w:pPr/>
      <w:r>
        <w:rPr>
          <w:b/>
          <w:bCs/>
        </w:rPr>
        <w:t xml:space="preserve">Critères d'évaluation</w:t>
      </w:r>
    </w:p>
    <w:p>
      <w:pPr>
        <w:pPr/>
        <w:numPr>
          <w:ilvl w:val="0"/>
          <w:numId w:val="29"/>
        </w:numPr>
      </w:pPr>
      <w:r>
        <w:rPr/>
        <w:t xml:space="preserve">Adéquation des dispositions de la notice d'entretien, de surveillance et de maintenance avec celle du Dossier Technique  </w:t>
      </w:r>
    </w:p>
    <w:p>
      <w:pPr>
        <w:pPr/>
        <w:numPr>
          <w:ilvl w:val="0"/>
          <w:numId w:val="29"/>
        </w:numPr>
      </w:pPr>
      <w:r>
        <w:rPr/>
        <w:t xml:space="preserve">Constat de l'aspect satisfaisant des ouvrages visités et retours d'enquêtes de satisfaction clients</w:t>
      </w:r>
    </w:p>
    <w:p>
      <w:pPr>
        <w:pPr/>
        <w:numPr>
          <w:ilvl w:val="0"/>
          <w:numId w:val="29"/>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0"/>
        </w:numPr>
      </w:pPr>
      <w:r>
        <w:rPr/>
        <w:t xml:space="preserve">Assistance technique aux entreprises pour la mise en œuvre du procédé.</w:t>
      </w:r>
    </w:p>
    <w:p>
      <w:pPr>
        <w:pPr/>
        <w:numPr>
          <w:ilvl w:val="0"/>
          <w:numId w:val="30"/>
        </w:numPr>
      </w:pPr>
      <w:r>
        <w:rPr/>
        <w:t xml:space="preserve">Assistance technique à l'entretien</w:t>
      </w:r>
    </w:p>
    <w:p>
      <w:pPr/>
      <w:r>
        <w:rPr>
          <w:b/>
          <w:bCs/>
        </w:rPr>
        <w:t xml:space="preserve">Justification</w:t>
      </w:r>
    </w:p>
    <w:p>
      <w:pPr>
        <w:pPr/>
        <w:numPr>
          <w:ilvl w:val="0"/>
          <w:numId w:val="31"/>
        </w:numPr>
      </w:pPr>
      <w:r>
        <w:rPr/>
        <w:t xml:space="preserve">Dispositions proposées aux entreprises sur le territoire français : Formation et accompagnement sur les chantiers</w:t>
      </w:r>
    </w:p>
    <w:p>
      <w:pPr>
        <w:pPr/>
        <w:numPr>
          <w:ilvl w:val="0"/>
          <w:numId w:val="31"/>
        </w:numPr>
      </w:pPr>
      <w:r>
        <w:rPr/>
        <w:t xml:space="preserve">Dispositions proposées aux utilisateurs pour assurer la qualité d'entretien du système en œuvre</w:t>
      </w:r>
    </w:p>
    <w:p>
      <w:pPr/>
      <w:r>
        <w:rPr>
          <w:b/>
          <w:bCs/>
        </w:rPr>
        <w:t xml:space="preserve">Critères d'évaluation</w:t>
      </w:r>
    </w:p>
    <w:p>
      <w:pPr>
        <w:pPr/>
        <w:numPr>
          <w:ilvl w:val="0"/>
          <w:numId w:val="32"/>
        </w:numPr>
      </w:pPr>
      <w:r>
        <w:rPr/>
        <w:t xml:space="preserve">Organisation de la distribution et de l'assistance technique sur le territoire Français </w:t>
      </w:r>
    </w:p>
    <w:p>
      <w:pPr>
        <w:pPr/>
        <w:numPr>
          <w:ilvl w:val="0"/>
          <w:numId w:val="32"/>
        </w:numPr>
      </w:pPr>
      <w:r>
        <w:rPr/>
        <w:t xml:space="preserve">Plan de formation proposé aux entreprises le cas échéant</w:t>
      </w:r>
    </w:p>
    <w:p>
      <w:pPr/>
      <w:r>
        <w:rPr>
          <w:rStyle w:val="font_h1"/>
        </w:rPr>
        <w:t xml:space="preserve">10. Essais</w:t>
      </w:r>
    </w:p>
    <w:p>
      <w:pPr/>
      <w:r>
        <w:rPr/>
        <w:t xml:space="preserve">Validé par le Groupe Spécialisé le 14/02/2019</w:t>
      </w:r>
    </w:p>
    <w:p>
      <w:pPr/>
      <w:r>
        <w:rPr>
          <w:b/>
          <w:bCs/>
        </w:rPr>
        <w:t xml:space="preserve">Description</w:t>
      </w:r>
    </w:p>
    <w:p>
      <w:pPr/>
      <w:r>
        <w:rPr/>
        <w:t xml:space="preserve">Dans le cas de rapports d’essais émanant d’un laboratoire notifié mais non agréé, le titulaire ou demandeur de l’Avis Technique doit produire un justificatif émanant d’un laboratoire agréé.</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F18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4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3B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61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778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57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9A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D7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431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8C6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63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349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39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68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0F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64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8B8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9CA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75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373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F69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4586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C1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CFC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6E1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2025-11-03T15:05:45+01:00</dcterms:created>
  <dcterms:modified xsi:type="dcterms:W3CDTF">2025-11-03T15:05:45+01:00</dcterms:modified>
</cp:coreProperties>
</file>

<file path=docProps/custom.xml><?xml version="1.0" encoding="utf-8"?>
<Properties xmlns="http://schemas.openxmlformats.org/officeDocument/2006/custom-properties" xmlns:vt="http://schemas.openxmlformats.org/officeDocument/2006/docPropsVTypes"/>
</file>