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rStyle w:val="font_default"/>
        </w:rPr>
        <w:t xml:space="preserve">Document entériné par le Groupe Spécialisé n° 12 - Édité le 04/10/2026</w:t>
      </w:r>
    </w:p>
    <w:p>
      <w:pPr>
        <w:pStyle w:val="paragraph_centered"/>
      </w:pPr>
      <w:r>
        <w:rPr>
          <w:rStyle w:val="font_h1"/>
        </w:rPr>
        <w:t xml:space="preserve">Liste minimale des éléments habituellement demandés par le Groupe Spécialisé</w:t>
      </w:r>
    </w:p>
    <w:p>
      <w:pPr/>
      <w:r>
        <w:rPr>
          <w:rStyle w:val="font_h2"/>
        </w:rPr>
        <w:t xml:space="preserve">Groupe Spécialisé n° 12 « Revêtements de sol et produits connexes »</w:t>
      </w:r>
    </w:p>
    <w:p>
      <w:pPr/>
      <w:r>
        <w:rPr>
          <w:rStyle w:val="font_default"/>
        </w:rPr>
        <w:t xml:space="preserve">Famille de produits ou procédés : </w:t>
      </w:r>
      <w:r>
        <w:rPr>
          <w:rStyle w:val="font_h3"/>
        </w:rPr>
        <w:t xml:space="preserve">Système de revêtement pour sol et mur de douche à base de PVC</w:t>
      </w:r>
    </w:p>
    <w:p>
      <w:pPr/>
      <w:r>
        <w:rPr>
          <w:rStyle w:val="font_h1"/>
        </w:rPr>
        <w:t xml:space="preserve">1. Description du sytème</w:t>
      </w:r>
    </w:p>
    <w:p>
      <w:pPr/>
      <w:r>
        <w:rPr>
          <w:rStyle w:val="font_h1"/>
        </w:rPr>
        <w:t xml:space="preserve">2. Domaine d'emploi</w:t>
      </w:r>
    </w:p>
    <w:p>
      <w:pPr/>
      <w:r>
        <w:rPr>
          <w:rStyle w:val="font_h1"/>
        </w:rPr>
        <w:t xml:space="preserve">3. Produits et matériaux</w:t>
      </w:r>
    </w:p>
    <w:p>
      <w:pPr/>
      <w:r>
        <w:rPr/>
        <w:t xml:space="preserve">Validé par le Groupe Spécialisé le 14/02/2019</w:t>
      </w:r>
    </w:p>
    <w:p>
      <w:pPr/>
      <w:r>
        <w:rPr>
          <w:b/>
          <w:bCs/>
        </w:rPr>
        <w:t xml:space="preserve">Description</w:t>
      </w:r>
    </w:p>
    <w:p>
      <w:pPr>
        <w:pPr/>
        <w:numPr>
          <w:ilvl w:val="0"/>
          <w:numId w:val="9"/>
        </w:numPr>
      </w:pPr>
      <w:r>
        <w:rPr/>
        <w:t xml:space="preserve">Caractéristiques techniques et d’aptitude à l’emploi du système et des éléments constitutifs du système</w:t>
      </w:r>
    </w:p>
    <w:p>
      <w:pPr>
        <w:pPr/>
        <w:numPr>
          <w:ilvl w:val="0"/>
          <w:numId w:val="9"/>
        </w:numPr>
      </w:pPr>
      <w:r>
        <w:rPr/>
        <w:t xml:space="preserve">Description des produits de mise en œuvre associés</w:t>
      </w:r>
    </w:p>
    <w:p>
      <w:pPr/>
      <w:r>
        <w:rPr/>
        <w:t xml:space="preserve">Dans le cadre de la révision d’un procédé manufacturé avec uniquement introduction d’un ou plusieurs nouveaux décors de revêtement, les autres caractéristiques restant par ailleurs identiques à l’existant ;</w:t>
      </w:r>
    </w:p>
    <w:p>
      <w:pPr/>
      <w:r>
        <w:rPr/>
        <w:t xml:space="preserve">Les justificatifs ou éléments complémentaires requis à minima par le GS, pour les nouveaux produits (décors), dans ce cas, sont :</w:t>
      </w:r>
    </w:p>
    <w:p>
      <w:pPr/>
      <w:r>
        <w:rPr/>
        <w:t xml:space="preserve">      - Fiche technique et extraits de contrôles internes ;      - Déclaration de performances ;      - Rapport de classement de réaction au feu</w:t>
      </w:r>
    </w:p>
    <w:p>
      <w:pPr/>
      <w:r>
        <w:rPr/>
        <w:t xml:space="preserve">Dans le cadre de la révision d’un procédé manufacturé avec introduction d’une nouvelle colle, d’un nouveau produit de maintien ou adhésif sur trame, ou bien avec modification de la formulation/caractéristiques techniques d’un produit existant</w:t>
      </w:r>
    </w:p>
    <w:p>
      <w:pPr/>
      <w:r>
        <w:rPr/>
        <w:t xml:space="preserve">Les justificatifs ou éléments complémentaires requis à minima par le GS, pour chaque nouvelle colle ou d’un nouveau produit de maintien ou adhésif sur trame, dans ce cas, sont :</w:t>
      </w:r>
    </w:p>
    <w:p>
      <w:pPr/>
      <w:r>
        <w:rPr/>
        <w:t xml:space="preserve">      - Fiche technique ;      - Accord du fabricant de la colle pour l’emploi de son produit dans les conditions du DTED ;      - Résultats d’essais d’aptitude à l’emploi, ad’hoc</w:t>
      </w:r>
    </w:p>
    <w:p>
      <w:pPr/>
      <w:r>
        <w:rPr>
          <w:b/>
          <w:bCs/>
        </w:rPr>
        <w:t xml:space="preserve">Justification</w:t>
      </w:r>
    </w:p>
    <w:p>
      <w:pPr>
        <w:pPr/>
        <w:numPr>
          <w:ilvl w:val="0"/>
          <w:numId w:val="10"/>
        </w:numPr>
      </w:pPr>
      <w:r>
        <w:rPr/>
        <w:t xml:space="preserve">Fiches de données de sécurité des revêtements et des matériaux ou produits associés le cas échéant</w:t>
      </w:r>
    </w:p>
    <w:p>
      <w:pPr>
        <w:pPr/>
        <w:numPr>
          <w:ilvl w:val="0"/>
          <w:numId w:val="10"/>
        </w:numPr>
      </w:pPr>
      <w:r>
        <w:rPr/>
        <w:t xml:space="preserve">Fiches de déclarations environnementales, si existantes, des revêtements et des autres produits ou matériaux utilisés pour la mise en œuvre</w:t>
      </w:r>
    </w:p>
    <w:p>
      <w:pPr>
        <w:pPr/>
        <w:numPr>
          <w:ilvl w:val="0"/>
          <w:numId w:val="10"/>
        </w:numPr>
      </w:pPr>
      <w:r>
        <w:rPr/>
        <w:t xml:space="preserve">Fiches de données de sécurité des composants de l’ouvrage qui sont soumis à cette obligation </w:t>
      </w:r>
    </w:p>
    <w:p>
      <w:pPr>
        <w:pPr/>
        <w:numPr>
          <w:ilvl w:val="0"/>
          <w:numId w:val="10"/>
        </w:numPr>
      </w:pPr>
      <w:r>
        <w:rPr/>
        <w:t xml:space="preserve">Conformité aux règles de l’art : Justification de la conformité vis à vis des règles écrites concernant les ouvrages visés : CPT « Système de revêtements pour sol et mur de douche à base de PVC » </w:t>
      </w:r>
    </w:p>
    <w:p>
      <w:pPr>
        <w:pPr/>
        <w:numPr>
          <w:ilvl w:val="0"/>
          <w:numId w:val="10"/>
        </w:numPr>
      </w:pPr>
      <w:r>
        <w:rPr/>
        <w:t xml:space="preserve">A défaut de références d’emploi présentées en pose sur support bois ventilé, justifications et critères particuliers relatifs aux dispositions et traitement de ces types de supports en vue de contrôler l’humidité du bois </w:t>
      </w:r>
    </w:p>
    <w:p>
      <w:pPr>
        <w:pPr/>
        <w:numPr>
          <w:ilvl w:val="0"/>
          <w:numId w:val="10"/>
        </w:numPr>
      </w:pPr>
      <w:r>
        <w:rPr/>
        <w:t xml:space="preserve">Autres informations : fiches de déclarations environnementales, si existantes, des revêtements de sol et mur ainsi que des autres produits ou matériaux utilisés pour la mise en œuvre</w:t>
      </w:r>
    </w:p>
    <w:p>
      <w:pPr>
        <w:pPr/>
        <w:numPr>
          <w:ilvl w:val="0"/>
          <w:numId w:val="10"/>
        </w:numPr>
      </w:pPr>
      <w:r>
        <w:rPr/>
        <w:t xml:space="preserve">Justification de l’aptitude à l’emploi et des performances revendiquées pour le système :Classement de réaction au feu du revêtement ou système de revêtement de sol ainsi que du revêtement de mur pour les différentes configurations et sur les différentes natures de supports admis pour la pose </w:t>
      </w:r>
    </w:p>
    <w:p>
      <w:pPr>
        <w:pPr/>
        <w:numPr>
          <w:ilvl w:val="0"/>
          <w:numId w:val="10"/>
        </w:numPr>
      </w:pPr>
      <w:r>
        <w:rPr/>
        <w:t xml:space="preserve">Caractéristiques d’identification et de construction de la sous-couche acoustique, si prévue dans le système </w:t>
      </w:r>
    </w:p>
    <w:p>
      <w:pPr>
        <w:pPr/>
        <w:numPr>
          <w:ilvl w:val="0"/>
          <w:numId w:val="10"/>
        </w:numPr>
      </w:pPr>
      <w:r>
        <w:rPr/>
        <w:t xml:space="preserve">Certificats NF-UPEC ou NF-UPEC.A+ en cours de validité, le cas échéant, des revêtements de sol, ou bien : Caractéristiques d’identification et de construction des revêtements de sol ; Caractéristiques d’aptitude à l’emploi (résistance à l’usure) des revêtements de sol, en conformité avec les normes produit applicables et les domaines d’emploi revendiqués </w:t>
      </w:r>
    </w:p>
    <w:p>
      <w:pPr>
        <w:pPr/>
        <w:numPr>
          <w:ilvl w:val="0"/>
          <w:numId w:val="10"/>
        </w:numPr>
      </w:pPr>
      <w:r>
        <w:rPr/>
        <w:t xml:space="preserve">Durabilité et propriétés mécaniques du revêtement ou système de revêtement de sol (résistance au poinçonnement statique, résistance de la soudure, stabilité dimensionnelle à la chaleur et à l’immersion, résistance aux taches et produits chimiques), en fonction du domaine d’emploi revendiqué </w:t>
      </w:r>
    </w:p>
    <w:p>
      <w:pPr>
        <w:pPr/>
        <w:numPr>
          <w:ilvl w:val="0"/>
          <w:numId w:val="10"/>
        </w:numPr>
      </w:pPr>
      <w:r>
        <w:rPr/>
        <w:t xml:space="preserve">Durabilité et propriétés mécaniques du revêtement de mur (stabilité dimensionnelle à la chaleur, résistance de la soudure) conformément aux exigences du CPT « Système de revêtements pour sol et mur de douche à base de PVC » </w:t>
      </w:r>
    </w:p>
    <w:p>
      <w:pPr>
        <w:pPr/>
        <w:numPr>
          <w:ilvl w:val="0"/>
          <w:numId w:val="10"/>
        </w:numPr>
      </w:pPr>
      <w:r>
        <w:rPr/>
        <w:t xml:space="preserve">Performances acoustiques du système vérifiées par tierce partie accréditée (essai de type initial) et dispositions prévues pour le suivi périodique de ces performances, si requises pour le domaine d’emploi revendiqué ou revendiquées pour les configurations considérées </w:t>
      </w:r>
    </w:p>
    <w:p>
      <w:pPr>
        <w:pPr/>
        <w:numPr>
          <w:ilvl w:val="0"/>
          <w:numId w:val="10"/>
        </w:numPr>
      </w:pPr>
      <w:r>
        <w:rPr/>
        <w:t xml:space="preserve">Caractéristiques d’identification et de performances mécaniques de la sous-couche acoustique le cas échéant </w:t>
      </w:r>
    </w:p>
    <w:p>
      <w:pPr>
        <w:pPr/>
        <w:numPr>
          <w:ilvl w:val="0"/>
          <w:numId w:val="10"/>
        </w:numPr>
      </w:pPr>
      <w:r>
        <w:rPr/>
        <w:t xml:space="preserve">Tenue du plan de collage revêtement de mur/support en partie courante (résistance au pelage, au cisaillement, réversibilité à l’humidité) pour le système considéré, en fonction des produits de collage préconisés et des types de supports revendiqués, conformément aux exigences du CPT « Système de revêtements pour sol et mur de douche à base de PVC » </w:t>
      </w:r>
    </w:p>
    <w:p>
      <w:pPr>
        <w:pPr/>
        <w:numPr>
          <w:ilvl w:val="0"/>
          <w:numId w:val="10"/>
        </w:numPr>
      </w:pPr>
      <w:r>
        <w:rPr/>
        <w:t xml:space="preserve">Le cas échéant : durabilité de la performance de maintien des bandes adhésives « colles sèches » lorsque préconisées pour le traitement des points singuliers (vieillissement à la chaleur / humidité) et comportement vis-à-vis des phénomènes de migration de constituants, conformément aux exigences du CPT « Système de revêtements pour sol et mur de douche à base de PVC » </w:t>
      </w:r>
    </w:p>
    <w:p>
      <w:pPr>
        <w:pPr/>
        <w:numPr>
          <w:ilvl w:val="0"/>
          <w:numId w:val="10"/>
        </w:numPr>
      </w:pPr>
      <w:r>
        <w:rPr/>
        <w:t xml:space="preserve">Durabilité et propriétés mécaniques des produits de dressage de forme de pente ainsi que des enduits de sol et primaires associés préconisés (compression, flexion, adhérence) conformément aux exigences du CPT « Système de revêtements pour sol et mur de douche à base de PVC »</w:t>
      </w:r>
    </w:p>
    <w:p>
      <w:pPr/>
      <w:r>
        <w:rPr>
          <w:b/>
          <w:bCs/>
        </w:rPr>
        <w:t xml:space="preserve">Critères d'évaluation</w:t>
      </w:r>
    </w:p>
    <w:p>
      <w:pPr>
        <w:pPr/>
        <w:numPr>
          <w:ilvl w:val="0"/>
          <w:numId w:val="11"/>
        </w:numPr>
      </w:pPr>
      <w:r>
        <w:rPr/>
        <w:t xml:space="preserve">Conformité aux exigences du marquage CE si applicable</w:t>
      </w:r>
    </w:p>
    <w:p>
      <w:pPr>
        <w:pPr/>
        <w:numPr>
          <w:ilvl w:val="0"/>
          <w:numId w:val="11"/>
        </w:numPr>
      </w:pPr>
      <w:r>
        <w:rPr/>
        <w:t xml:space="preserve">Conformité aux réglementations contre les risques de panique et d'incendie </w:t>
      </w:r>
    </w:p>
    <w:p>
      <w:pPr>
        <w:pPr/>
        <w:numPr>
          <w:ilvl w:val="0"/>
          <w:numId w:val="11"/>
        </w:numPr>
      </w:pPr>
      <w:r>
        <w:rPr/>
        <w:t xml:space="preserve">Conformité ou compatibilité avec les exigences de la réglementation accessibilité </w:t>
      </w:r>
    </w:p>
    <w:p>
      <w:pPr>
        <w:pPr/>
        <w:numPr>
          <w:ilvl w:val="0"/>
          <w:numId w:val="11"/>
        </w:numPr>
      </w:pPr>
      <w:r>
        <w:rPr/>
        <w:t xml:space="preserve">Conformité vis-à-vis du critère de déclaration environnementale, le  cas échéant, des revêtements de sol et des autres produits ou matériaux utilisés pour la mise en œuvre </w:t>
      </w:r>
    </w:p>
    <w:p>
      <w:pPr>
        <w:pPr/>
        <w:numPr>
          <w:ilvl w:val="0"/>
          <w:numId w:val="11"/>
        </w:numPr>
      </w:pPr>
      <w:r>
        <w:rPr/>
        <w:t xml:space="preserve">Prévention vis-à-vis des aspects sanitaires : Contenu et émission de substances dangereuses, déclaration concernant la présence de substances dangereuses lorsque le produit en contient, conformément aux règles nationale et européenne, déclaration d’émission de composés organiques volatils (cov) </w:t>
      </w:r>
    </w:p>
    <w:p>
      <w:pPr>
        <w:pPr/>
        <w:numPr>
          <w:ilvl w:val="0"/>
          <w:numId w:val="11"/>
        </w:numPr>
      </w:pPr>
      <w:r>
        <w:rPr/>
        <w:t xml:space="preserve">Respect de la réglementation acoustique si requis pour le domaine d’emploi revendiqué ou performance acoustique revendiquée </w:t>
      </w:r>
    </w:p>
    <w:p>
      <w:pPr>
        <w:pPr/>
        <w:numPr>
          <w:ilvl w:val="0"/>
          <w:numId w:val="11"/>
        </w:numPr>
      </w:pPr>
      <w:r>
        <w:rPr/>
        <w:t xml:space="preserve">Justification de la conformité vis à vis des règles écrites concernant les ouvrages visés, DTU, CPT…</w:t>
      </w:r>
    </w:p>
    <w:p>
      <w:pPr/>
      <w:r>
        <w:rPr>
          <w:rStyle w:val="font_h1"/>
        </w:rPr>
        <w:t xml:space="preserve">4. Fabrication</w:t>
      </w:r>
    </w:p>
    <w:p>
      <w:pPr/>
      <w:r>
        <w:rPr>
          <w:rStyle w:val="font_h1"/>
        </w:rPr>
        <w:t xml:space="preserve">5. Contrôle</w:t>
      </w:r>
    </w:p>
    <w:p>
      <w:pPr/>
      <w:r>
        <w:rPr>
          <w:rStyle w:val="font_h1"/>
        </w:rPr>
        <w:t xml:space="preserve">6. Mise en oeuvre</w:t>
      </w:r>
    </w:p>
    <w:p>
      <w:pPr/>
      <w:r>
        <w:rPr>
          <w:rStyle w:val="font_h1"/>
        </w:rPr>
        <w:t xml:space="preserve">7. Mise en service</w:t>
      </w:r>
    </w:p>
    <w:p>
      <w:pPr/>
      <w:r>
        <w:rPr>
          <w:rStyle w:val="font_h1"/>
        </w:rPr>
        <w:t xml:space="preserve">8. Entretien - Utilisation</w:t>
      </w:r>
    </w:p>
    <w:p>
      <w:pPr/>
      <w:r>
        <w:rPr>
          <w:rStyle w:val="font_h1"/>
        </w:rPr>
        <w:t xml:space="preserve">9. Assistance technique</w:t>
      </w:r>
    </w:p>
    <w:p>
      <w:pPr/>
      <w:r>
        <w:rPr>
          <w:rStyle w:val="font_h1"/>
        </w:rPr>
        <w:t xml:space="preserve">10. Références chantier</w:t>
      </w:r>
    </w:p>
    <w:p>
      <w:pPr/>
      <w:r>
        <w:rPr/>
        <w:t xml:space="preserve">Validé par le Groupe Spécialisé le 14/02/2019</w:t>
      </w:r>
    </w:p>
    <w:p>
      <w:pPr/>
      <w:r>
        <w:rPr>
          <w:b/>
          <w:bCs/>
        </w:rPr>
        <w:t xml:space="preserve">Description</w:t>
      </w:r>
    </w:p>
    <w:p>
      <w:pPr/>
      <w:r>
        <w:rPr/>
        <w:t xml:space="preserve">À ce jour, au moins 6 références ayant une antériorité d’usage d’au moins 6 mois, pour le domaine d’emploi revendiqué, sont demandées.</w:t>
      </w:r>
    </w:p>
    <w:p>
      <w:pPr/>
      <w:r>
        <w:rPr/>
        <w:t xml:space="preserve">Néanmoins, dans le cadre d’une demande de révision, un procédé ayant subi une modification et qui ne réunit pas encore, dans sa nouvelle version, le nombre total de références requis, dans les cas suivants :1) Modification ayant conduit à une amélioration justifiée de ses performances ;2) Modification suite à une évolution réglementaire, typiquement « Reach » ;</w:t>
      </w:r>
    </w:p>
    <w:p>
      <w:pPr/>
      <w:r>
        <w:rPr/>
        <w:t xml:space="preserve">Alors, le nombre minimal de références dans les deux cas suivants est réduit à 3, sous réserve qu’il puisse être attesté que :</w:t>
      </w:r>
    </w:p>
    <w:p>
      <w:pPr>
        <w:pPr/>
        <w:numPr>
          <w:ilvl w:val="0"/>
          <w:numId w:val="12"/>
        </w:numPr>
      </w:pPr>
      <w:r>
        <w:rPr/>
        <w:t xml:space="preserve">La fabrication et le suivi de production sont les mêmes ;</w:t>
      </w:r>
    </w:p>
    <w:p>
      <w:pPr>
        <w:pPr/>
        <w:numPr>
          <w:ilvl w:val="0"/>
          <w:numId w:val="12"/>
        </w:numPr>
      </w:pPr>
      <w:r>
        <w:rPr/>
        <w:t xml:space="preserve">Les caractéristiques d’aptitude à l’emploi annoncées et justifiées au DTED sont identiques ou meilleures ;</w:t>
      </w:r>
    </w:p>
    <w:p>
      <w:pPr>
        <w:pPr/>
        <w:numPr>
          <w:ilvl w:val="0"/>
          <w:numId w:val="12"/>
        </w:numPr>
      </w:pPr>
      <w:r>
        <w:rPr/>
        <w:t xml:space="preserve">Les dispositions de dimensionnement et de mise en œuvre restent identiques.</w:t>
      </w:r>
    </w:p>
    <w:sectPr>
      <w:headerReference w:type="default" r:id="rId7"/>
      <w:footerReference w:type="default" r:id="rId8"/>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paragraph_footer"/>
    </w:pPr>
    <w:r>
      <w:rPr>
        <w:rStyle w:val="font_footer"/>
      </w:rPr>
      <w:t xml:space="preserve">Secrétariat : 84 avenue Jean-Jaurès – Champs-sur-Marne – F-77447 Marne-la-Vallée Cedex 2</w:t>
    </w:r>
    <w:br/>
    <w:r>
      <w:rPr>
        <w:rStyle w:val="font_footer"/>
      </w:rPr>
      <w:t xml:space="preserve">Tel : (33)01.64.68.85.60 - Fax : (33)01.64.68.85.65</w:t>
    </w:r>
    <w:br/>
    <w:r>
      <w:rPr>
        <w:rStyle w:val="font_footer"/>
      </w:rPr>
      <w:t xml:space="preserve">Serveur Internet : http://www.cstb.fr - E-mail : secretariat.at@cstb.fr</w:t>
    </w:r>
    <w:br/>
  </w:p>
  <w:p>
    <w:pPr>
      <w:pStyle w:val="paragraph_footer"/>
    </w:pPr>
    <w:r>
      <w:rPr>
        <w:rStyle w:val="font_footer"/>
      </w:rPr>
      <w:t xml:space="preserve">Page </w:t>
    </w:r>
    <w:r>
      <w:fldChar w:fldCharType="begin"/>
    </w:r>
    <w:r>
      <w:rPr>
        <w:rStyle w:val="font_footer"/>
      </w:rPr>
      <w:instrText xml:space="preserve">PAGE</w:instrText>
    </w:r>
    <w:r>
      <w:fldChar w:fldCharType="separate"/>
    </w:r>
    <w:r>
      <w:fldChar w:fldCharType="end"/>
    </w:r>
    <w:r>
      <w:rPr>
        <w:rStyle w:val="font_footer"/>
      </w:rPr>
      <w:t xml:space="preserve"> sur </w:t>
    </w:r>
    <w:r>
      <w:fldChar w:fldCharType="begin"/>
    </w:r>
    <w:r>
      <w:rPr>
        <w:rStyle w:val="font_footer"/>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
  <w:p>
    <w:pPr/>
    <w:r>
      <w:pict>
        <v:shape type="#_x0000_t75" style="width:170pt; height:60pt; margin-left:0pt; margin-top:0pt; mso-position-horizontal:left; mso-position-vertical:top; mso-position-horizontal-relative:char;">
          <w10:wrap type="inline"/>
          <v:imagedata r:id="rId1" o:title=""/>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
    <w:nsid w:val="7F7E08E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82D7B97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EFCB3F6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D0CE495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font_default">
    <w:name w:val="font_default"/>
    <w:basedOn w:val="Normal"/>
    <w:pPr>
      <w:spacing w:line="240" w:lineRule="auto"/>
    </w:pPr>
    <w:rPr>
      <w:rFonts w:ascii="Calibri" w:hAnsi="Calibri" w:eastAsia="Calibri" w:cs="Calibri"/>
      <w:color w:val="000000"/>
      <w:sz w:val="22"/>
      <w:szCs w:val="22"/>
    </w:rPr>
  </w:style>
  <w:style w:type="character">
    <w:name w:val="font_h1"/>
    <w:rPr>
      <w:rFonts w:ascii="Calibri" w:hAnsi="Calibri" w:eastAsia="Calibri" w:cs="Calibri"/>
      <w:color w:val="000000"/>
      <w:sz w:val="28"/>
      <w:szCs w:val="28"/>
      <w:b/>
      <w:bCs/>
    </w:rPr>
  </w:style>
  <w:style w:type="character">
    <w:name w:val="font_h2"/>
    <w:rPr>
      <w:rFonts w:ascii="Calibri" w:hAnsi="Calibri" w:eastAsia="Calibri" w:cs="Calibri"/>
      <w:color w:val="000000"/>
      <w:sz w:val="24"/>
      <w:szCs w:val="24"/>
      <w:b/>
      <w:bCs/>
    </w:rPr>
  </w:style>
  <w:style w:type="character">
    <w:name w:val="font_h3"/>
    <w:rPr>
      <w:rFonts w:ascii="Calibri" w:hAnsi="Calibri" w:eastAsia="Calibri" w:cs="Calibri"/>
      <w:color w:val="000000"/>
      <w:sz w:val="22"/>
      <w:szCs w:val="22"/>
      <w:b/>
      <w:bCs/>
    </w:rPr>
  </w:style>
  <w:style w:type="character">
    <w:name w:val="font_footer"/>
    <w:rPr>
      <w:rFonts w:ascii="Calibri" w:hAnsi="Calibri" w:eastAsia="Calibri" w:cs="Calibri"/>
      <w:color w:val="000000"/>
      <w:sz w:val="20"/>
      <w:szCs w:val="20"/>
    </w:rPr>
  </w:style>
  <w:style w:type="paragraph" w:customStyle="1" w:styleId="paragraph_centered">
    <w:name w:val="paragraph_centered"/>
    <w:basedOn w:val="Normal"/>
    <w:pPr>
      <w:jc w:val="center"/>
    </w:pPr>
  </w:style>
  <w:style w:type="paragraph" w:customStyle="1" w:styleId="paragraph_footer">
    <w:name w:val="paragraph_footer"/>
    <w:basedOn w:val="Normal"/>
    <w:pPr>
      <w:jc w:val="center"/>
      <w:spacing w:after="0" w:line="240" w:lineRule="auto"/>
    </w:pPr>
  </w:style>
  <w:style w:type="table" w:customStyle="1" w:styleId="table">
    <w:name w:val="table"/>
    <w:uiPriority w:val="99"/>
    <w:tblPr>
      <w:tblW w:w="0" w:type="auto"/>
      <w:tblLayout w:type="autofit"/>
      <w:tblCellMar>
        <w:top w:w="50" w:type="dxa"/>
        <w:left w:w="50" w:type="dxa"/>
        <w:right w:w="50" w:type="dxa"/>
        <w:bottom w:w="50" w:type="dxa"/>
      </w:tblCellMar>
      <w:tblBorders>
        <w:top w:val="single" w:sz="6" w:color="444444"/>
        <w:left w:val="single" w:sz="6" w:color="444444"/>
        <w:right w:val="single" w:sz="6" w:color="444444"/>
        <w:bottom w:val="single" w:sz="6" w:color="444444"/>
        <w:insideH w:val="single" w:sz="6" w:color="444444"/>
        <w:insideV w:val="single" w:sz="6" w:color="444444"/>
      </w:tblBorders>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header1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2026-10-04T19:27:53+02:00</dcterms:created>
  <dcterms:modified xsi:type="dcterms:W3CDTF">2026-10-04T19:27:53+02:00</dcterms:modified>
</cp:coreProperties>
</file>

<file path=docProps/custom.xml><?xml version="1.0" encoding="utf-8"?>
<Properties xmlns="http://schemas.openxmlformats.org/officeDocument/2006/custom-properties" xmlns:vt="http://schemas.openxmlformats.org/officeDocument/2006/docPropsVTypes"/>
</file>