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31/05/2026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w:t>
      </w:r>
    </w:p>
    <w:p>
      <w:pPr/>
      <w:r>
        <w:rPr>
          <w:rStyle w:val="font_h1"/>
        </w:rPr>
        <w:t xml:space="preserve">1. Principe</w:t>
      </w:r>
    </w:p>
    <w:p>
      <w:pPr/>
      <w:r>
        <w:rPr/>
        <w:t xml:space="preserve">Validé par le Groupe Spécialisé le 18/06/2020</w:t>
      </w:r>
    </w:p>
    <w:p>
      <w:pPr/>
      <w:r>
        <w:rPr>
          <w:b/>
          <w:bCs/>
        </w:rPr>
        <w:t xml:space="preserve">Description</w:t>
      </w:r>
    </w:p>
    <w:p>
      <w:pPr/>
      <w:r>
        <w:rPr/>
        <w:t xml:space="preserve">Principe de réalisation de murs en maçonnerie de blocs coffrages généralement posés à sec et destinés à être remplis de béton in situ.Revêtements intérieurs et extérieurs applicables (murs de façade et murs enterrés) Indication du classement du produit au sens du DTU 26.1 (Rt1, 2 ou 3)</w:t>
      </w:r>
    </w:p>
    <w:p>
      <w:pPr/>
      <w:r>
        <w:rPr>
          <w:rStyle w:val="font_h1"/>
        </w:rPr>
        <w:t xml:space="preserve">2. Domaine d'emploi</w:t>
      </w:r>
    </w:p>
    <w:p>
      <w:pPr/>
      <w:r>
        <w:rPr/>
        <w:t xml:space="preserve">Validé par le Groupe Spécialisé le 03/02/2026</w:t>
      </w:r>
    </w:p>
    <w:p>
      <w:pPr/>
      <w:r>
        <w:rPr>
          <w:b/>
          <w:bCs/>
        </w:rPr>
        <w:t xml:space="preserve">Description</w:t>
      </w:r>
    </w:p>
    <w:p>
      <w:pPr>
        <w:pPr/>
        <w:numPr>
          <w:ilvl w:val="0"/>
          <w:numId w:val="9"/>
        </w:numPr>
      </w:pPr>
      <w:r>
        <w:rPr/>
        <w:t xml:space="preserve">Type de constructions visées : bâtiments d’habitation ≤ 50 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9"/>
        </w:numPr>
      </w:pPr>
      <w:r>
        <w:rPr/>
        <w:t xml:space="preserve">Zone géographique visée : France européenne et/ou ultramarine</w:t>
      </w:r>
    </w:p>
    <w:p>
      <w:pPr>
        <w:pPr/>
        <w:numPr>
          <w:ilvl w:val="0"/>
          <w:numId w:val="9"/>
        </w:numPr>
      </w:pPr>
      <w:r>
        <w:rPr/>
        <w:t xml:space="preserve">Catégorie d’ouvrages visés au sens de l’arrêté du 22 octobre 2010 modifié : I, II, III ou IV</w:t>
      </w:r>
    </w:p>
    <w:p>
      <w:pPr>
        <w:pPr/>
        <w:numPr>
          <w:ilvl w:val="0"/>
          <w:numId w:val="9"/>
        </w:numPr>
      </w:pPr>
      <w:r>
        <w:rPr/>
        <w:t xml:space="preserve">Zones sismiques visées au sens de l’arrêté du 22 octobre 2010 modifié : 1, 2, 3, 4 ou 5</w:t>
      </w:r>
    </w:p>
    <w:p>
      <w:pPr>
        <w:pPr/>
        <w:numPr>
          <w:ilvl w:val="0"/>
          <w:numId w:val="9"/>
        </w:numPr>
      </w:pPr>
      <w:r>
        <w:rPr/>
        <w:t xml:space="preserve">Type de joints horizontaux visés : pose à sec, à joints minces ou à joints épais</w:t>
      </w:r>
    </w:p>
    <w:p>
      <w:pPr>
        <w:pPr/>
        <w:numPr>
          <w:ilvl w:val="0"/>
          <w:numId w:val="9"/>
        </w:numPr>
      </w:pPr>
      <w:r>
        <w:rPr/>
        <w:t xml:space="preserve">Type d’isolation : ITI, ITE ou isolation insérée dans les blocs.</w:t>
      </w:r>
    </w:p>
    <w:p>
      <w:pPr>
        <w:pPr/>
        <w:numPr>
          <w:ilvl w:val="0"/>
          <w:numId w:val="9"/>
        </w:numPr>
      </w:pPr>
      <w:r>
        <w:rPr/>
        <w:t xml:space="preserve">Type de maçonnerie visée : maçonnerie de remplissage, maçonnerie non armée, maçonnerie confinée et/ou maçonnerie armée…</w:t>
      </w:r>
    </w:p>
    <w:p>
      <w:pPr>
        <w:pPr/>
        <w:numPr>
          <w:ilvl w:val="0"/>
          <w:numId w:val="9"/>
        </w:numPr>
      </w:pPr>
      <w:r>
        <w:rPr/>
        <w:t xml:space="preserve">Sauf justification particulière, limitation des acrotères hauts aux ouvrages à structure en blocs coffrage ou murs banchés, sauf dans le cas des acrotères isolés sur 3 faces.  </w:t>
      </w:r>
    </w:p>
    <w:p>
      <w:pPr/>
      <w:r>
        <w:rPr>
          <w:b/>
          <w:bCs/>
        </w:rPr>
        <w:t xml:space="preserve">Jurisprudence :</w:t>
      </w:r>
      <w:r>
        <w:rPr/>
        <w:t xml:space="preserve"> Les acrotères hauts non isolés sur un support en maçonnerie ne sont acceptés que moyennant les prescriptions suivantes :</w:t>
      </w:r>
    </w:p>
    <w:p>
      <w:pPr>
        <w:pPr/>
        <w:numPr>
          <w:ilvl w:val="0"/>
          <w:numId w:val="10"/>
        </w:numPr>
      </w:pPr>
      <w:r>
        <w:rPr/>
        <w:t xml:space="preserve">Mise en œuvre d'un enduit armé sur toutes les faces de l'acrotère (faces latérales et hautes) ;</w:t>
      </w:r>
    </w:p>
    <w:p>
      <w:pPr>
        <w:pPr/>
        <w:numPr>
          <w:ilvl w:val="0"/>
          <w:numId w:val="10"/>
        </w:numPr>
      </w:pPr>
      <w:r>
        <w:rPr/>
        <w:t xml:space="preserve">Cet enduit doit être de classe d'absorption d'eau par capillarité Wc2 au sens de la norme NF EN 998-1 ;</w:t>
      </w:r>
    </w:p>
    <w:p>
      <w:pPr>
        <w:pPr/>
        <w:numPr>
          <w:ilvl w:val="0"/>
          <w:numId w:val="10"/>
        </w:numPr>
      </w:pPr>
      <w:r>
        <w:rPr/>
        <w:t xml:space="preserve">Mise en œuvre d'un chaînage vertical tous les 2,50 m au dernier niveau de la maçonnerie sous-jacente.</w:t>
      </w:r>
    </w:p>
    <w:p>
      <w:pPr/>
      <w:r>
        <w:rPr/>
        <w:t xml:space="preserve">Un retour d’expérience sur les acrotères hauts non isolés sur un support sous-jacent en maçonnerie est à fournir pour les Avis Techniques basés sur cette jurisprudence.</w:t>
      </w:r>
    </w:p>
    <w:p>
      <w:pPr/>
      <w:r>
        <w:rPr>
          <w:rStyle w:val="font_h1"/>
        </w:rPr>
        <w:t xml:space="preserve">3. Éléments constitutifs des murs</w:t>
      </w:r>
    </w:p>
    <w:p>
      <w:pPr>
        <w:ind w:left="720" w:right="0"/>
      </w:pPr>
      <w:r>
        <w:rPr>
          <w:rStyle w:val="font_h2"/>
        </w:rPr>
        <w:t xml:space="preserve">3.1. Eléments de maçonnerie en partie courante</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3.2. Eléments de maçonnerie accessoires</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3.3. Mortier de montage</w:t>
      </w:r>
    </w:p>
    <w:p>
      <w:pPr/>
      <w:r>
        <w:rPr/>
        <w:t xml:space="preserve">Validé par le Groupe Spécialisé le 18/06/2020</w:t>
      </w:r>
    </w:p>
    <w:p>
      <w:pPr/>
      <w:r>
        <w:rPr>
          <w:b/>
          <w:bCs/>
        </w:rPr>
        <w:t xml:space="preserve">Description</w:t>
      </w:r>
    </w:p>
    <w:p>
      <w:pPr/>
      <w:r>
        <w:rPr/>
        <w:t xml:space="preserve">si mortier de montage, définition du ou des mortiers de montage (identification, spécifications) ; description de l’outillage de pose du mortier ; liste nominative des mortiers de montage (dénomination, coordonnées des fabricants);</w:t>
      </w:r>
    </w:p>
    <w:p>
      <w:pPr>
        <w:ind w:left="720" w:right="0"/>
      </w:pPr>
      <w:r>
        <w:rPr>
          <w:rStyle w:val="font_h2"/>
        </w:rPr>
        <w:t xml:space="preserve">3.4. Béton de remplissage</w:t>
      </w:r>
    </w:p>
    <w:p>
      <w:pPr/>
      <w:r>
        <w:rPr/>
        <w:t xml:space="preserve">Validé par le Groupe Spécialisé le 18/06/2020</w:t>
      </w:r>
    </w:p>
    <w:p>
      <w:pPr/>
      <w:r>
        <w:rPr>
          <w:b/>
          <w:bCs/>
        </w:rPr>
        <w:t xml:space="preserve">Description</w:t>
      </w:r>
    </w:p>
    <w:p>
      <w:pPr/>
      <w:r>
        <w:rPr/>
        <w:t xml:space="preserve">caractéristiques du béton de remplissage selon la norme EN 206/CN (classe de résistance, d’exposition, de consistance, granulométrie,…)</w:t>
      </w:r>
    </w:p>
    <w:p>
      <w:pPr>
        <w:ind w:left="720" w:right="0"/>
      </w:pPr>
      <w:r>
        <w:rPr>
          <w:rStyle w:val="font_h2"/>
        </w:rPr>
        <w:t xml:space="preserve">3.5. Information CE et DE</w:t>
      </w:r>
    </w:p>
    <w:p>
      <w:pPr/>
      <w:r>
        <w:rPr/>
        <w:t xml:space="preserve">Validé par le Groupe Spécialisé le 18/06/2020</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18/06/2020</w:t>
      </w:r>
    </w:p>
    <w:p>
      <w:pPr/>
      <w:r>
        <w:rPr>
          <w:b/>
          <w:bCs/>
        </w:rPr>
        <w:t xml:space="preserve">Description</w:t>
      </w:r>
    </w:p>
    <w:p>
      <w:pPr>
        <w:pPr/>
        <w:numPr>
          <w:ilvl w:val="0"/>
          <w:numId w:val="11"/>
        </w:numPr>
      </w:pPr>
      <w:r>
        <w:rPr/>
        <w:t xml:space="preserve">Liste des usines </w:t>
      </w:r>
    </w:p>
    <w:p>
      <w:pPr>
        <w:pPr/>
        <w:numPr>
          <w:ilvl w:val="0"/>
          <w:numId w:val="11"/>
        </w:numPr>
      </w:pPr>
      <w:r>
        <w:rPr/>
        <w:t xml:space="preserve">Liste des éléments produits dans chaque usine</w:t>
      </w:r>
    </w:p>
    <w:p>
      <w:pPr>
        <w:pPr/>
        <w:numPr>
          <w:ilvl w:val="0"/>
          <w:numId w:val="11"/>
        </w:numPr>
      </w:pPr>
      <w:r>
        <w:rPr/>
        <w:t xml:space="preserve">Description du processus de fabrication</w:t>
      </w:r>
    </w:p>
    <w:p>
      <w:pPr>
        <w:pPr/>
        <w:numPr>
          <w:ilvl w:val="0"/>
          <w:numId w:val="11"/>
        </w:numPr>
      </w:pPr>
      <w:r>
        <w:rPr/>
        <w:t xml:space="preserve">Tolérances de fabrication</w:t>
      </w:r>
    </w:p>
    <w:p>
      <w:pPr>
        <w:pPr/>
        <w:numPr>
          <w:ilvl w:val="0"/>
          <w:numId w:val="11"/>
        </w:numPr>
      </w:pPr>
      <w:r>
        <w:rPr/>
        <w:t xml:space="preserve">Nature et fréquence des contrôles de production</w:t>
      </w:r>
    </w:p>
    <w:p>
      <w:pPr>
        <w:pPr/>
        <w:numPr>
          <w:ilvl w:val="0"/>
          <w:numId w:val="11"/>
        </w:numPr>
      </w:pPr>
      <w:r>
        <w:rPr/>
        <w:t xml:space="preserve">Description du marquage apposé sur les éléments</w:t>
      </w:r>
    </w:p>
    <w:p>
      <w:pPr>
        <w:pPr/>
        <w:numPr>
          <w:ilvl w:val="0"/>
          <w:numId w:val="11"/>
        </w:numPr>
      </w:pPr>
      <w:r>
        <w:rPr/>
        <w:t xml:space="preserve">Certification tierce partie</w:t>
      </w:r>
    </w:p>
    <w:p>
      <w:pPr/>
      <w:r>
        <w:rPr>
          <w:b/>
          <w:bCs/>
        </w:rPr>
        <w:t xml:space="preserve">Critères d'évaluation</w:t>
      </w:r>
    </w:p>
    <w:p>
      <w:pPr/>
      <w:r>
        <w:rPr/>
        <w:t xml:space="preserve">catégorie de tolérances D3 au sens de la norme NF EN 15435/CN (écarts admissibles de ± 1,5 mm sur la hauteur nominale).De plus, la hauteur sur muret constitué de 5 rangs de 2 ou 3 blocs dont les cotes extrêmes mesurées aux 4 angles ne doivent pas s'écarter de plus de 5 mm.</w:t>
      </w:r>
    </w:p>
    <w:p>
      <w:pPr/>
      <w:r>
        <w:rPr>
          <w:rStyle w:val="font_h1"/>
        </w:rPr>
        <w:t xml:space="preserve">5. Mise en oeuvre</w:t>
      </w:r>
    </w:p>
    <w:p>
      <w:pPr/>
      <w:r>
        <w:rPr/>
        <w:t xml:space="preserve">Validé par le Groupe Spécialisé le 03/02/2026</w:t>
      </w:r>
    </w:p>
    <w:p>
      <w:pPr/>
      <w:r>
        <w:rPr>
          <w:b/>
          <w:bCs/>
        </w:rPr>
        <w:t xml:space="preserve">Description</w:t>
      </w:r>
    </w:p>
    <w:p>
      <w:pPr>
        <w:pPr/>
        <w:numPr>
          <w:ilvl w:val="0"/>
          <w:numId w:val="12"/>
        </w:numPr>
      </w:pPr>
      <w:r>
        <w:rPr/>
        <w:t xml:space="preserve">Principe général de la pose des éléments de maçonnerie : Principe de préparation des assises et de réalisation du premier rang, Principe de montage en partie courante et de réalisation de joints éventuels, étayage avant coulage</w:t>
      </w:r>
    </w:p>
    <w:p>
      <w:pPr>
        <w:pPr/>
        <w:numPr>
          <w:ilvl w:val="0"/>
          <w:numId w:val="12"/>
        </w:numPr>
      </w:pPr>
      <w:r>
        <w:rPr/>
        <w:t xml:space="preserve">Mode de coulage du béton (matériel, précautions, vitesse de coulage, hauteur de coulage, reprises de bétonnage) </w:t>
      </w:r>
    </w:p>
    <w:p>
      <w:pPr>
        <w:pPr/>
        <w:numPr>
          <w:ilvl w:val="0"/>
          <w:numId w:val="12"/>
        </w:numPr>
      </w:pPr>
      <w:r>
        <w:rPr/>
        <w:t xml:space="preserve">Réalisation des jonctions : jonctions façade-façade, angles rentrants et sortants, jonctions façade-refend, jonctions façade-plancher, jonctions façade-charpente.</w:t>
      </w:r>
    </w:p>
    <w:p>
      <w:pPr>
        <w:pPr/>
        <w:numPr>
          <w:ilvl w:val="0"/>
          <w:numId w:val="12"/>
        </w:numPr>
      </w:pPr>
      <w:r>
        <w:rPr/>
        <w:t xml:space="preserve">Réalisation des chaînages : Chaînages verticaux, Chaînages horizontaux. Préciser comment sont mises en place les armatures horizontales ainsi que les dispositions prises pour le respect des enrobages.</w:t>
      </w:r>
    </w:p>
    <w:p>
      <w:pPr>
        <w:pPr/>
        <w:numPr>
          <w:ilvl w:val="0"/>
          <w:numId w:val="12"/>
        </w:numPr>
      </w:pPr>
      <w:r>
        <w:rPr/>
        <w:t xml:space="preserve">Réalisation des ouvertures :  Réalisation des tableaux des ouvertures, Réalisation des linteaux, Mode de liaison mur-menuiserie. Préciser que la mise en oeuvre des menuiseries doit être réalisées directement sur le béton, sauf justifications spécifiques (Etanchéité, acoustique...)</w:t>
      </w:r>
    </w:p>
    <w:p>
      <w:pPr>
        <w:pPr/>
        <w:numPr>
          <w:ilvl w:val="0"/>
          <w:numId w:val="12"/>
        </w:numPr>
      </w:pPr>
      <w:r>
        <w:rPr/>
        <w:t xml:space="preserve">Description de la réalisation des ouvrages spécifiques et revêtements associés : Réalisation de murs de soubassement, Réalisation de murs enterrés, Réalisation d’acrotères (Préciser qu'une protection en tête des acrotères en phase provisoire est nécessaire)</w:t>
      </w:r>
    </w:p>
    <w:p>
      <w:pPr>
        <w:pPr/>
        <w:numPr>
          <w:ilvl w:val="0"/>
          <w:numId w:val="12"/>
        </w:numPr>
      </w:pPr>
      <w:r>
        <w:rPr/>
        <w:t xml:space="preserve">Description de la réalisation des pointes de pignon et de la liaison avec les pannes.</w:t>
      </w:r>
    </w:p>
    <w:p>
      <w:pPr>
        <w:pPr/>
        <w:numPr>
          <w:ilvl w:val="0"/>
          <w:numId w:val="12"/>
        </w:numPr>
      </w:pPr>
      <w:r>
        <w:rPr/>
        <w:t xml:space="preserve">Préciser le poids de chaque élément de la gamme</w:t>
      </w:r>
    </w:p>
    <w:p>
      <w:pPr>
        <w:pPr/>
        <w:numPr>
          <w:ilvl w:val="0"/>
          <w:numId w:val="12"/>
        </w:numPr>
      </w:pPr>
      <w:r>
        <w:rPr/>
        <w:t xml:space="preserve">Décrire les outils prévus pour l’application éventuelle d'un mortier de pose</w:t>
      </w:r>
    </w:p>
    <w:p>
      <w:pPr>
        <w:pPr/>
        <w:numPr>
          <w:ilvl w:val="0"/>
          <w:numId w:val="12"/>
        </w:numPr>
      </w:pPr>
      <w:r>
        <w:rPr/>
        <w:t xml:space="preserve">Description de la mise en œuvre de l’enduit en partie courante et entre deux parties différentes de maçonnerie </w:t>
      </w:r>
    </w:p>
    <w:p>
      <w:pPr>
        <w:pPr/>
        <w:numPr>
          <w:ilvl w:val="0"/>
          <w:numId w:val="12"/>
        </w:numPr>
      </w:pPr>
      <w:r>
        <w:rPr/>
        <w:t xml:space="preserve">Mode de fixation d’objets lourds</w:t>
      </w:r>
    </w:p>
    <w:p>
      <w:pPr>
        <w:pPr/>
        <w:numPr>
          <w:ilvl w:val="0"/>
          <w:numId w:val="12"/>
        </w:numPr>
      </w:pPr>
      <w:r>
        <w:rPr/>
        <w:t xml:space="preserve">Mode de réalisation des saignées et des opérations de rebouchage*Préciser que le procédé ne peut pas recevoir les protections collectives (garde-corps...) tant que le béton n'est pas coulé. Après le coulage, les protections doivent être fixées par des éléments traversant la paroi.</w:t>
      </w:r>
    </w:p>
    <w:p>
      <w:pPr>
        <w:pPr/>
        <w:numPr>
          <w:ilvl w:val="0"/>
          <w:numId w:val="12"/>
        </w:numPr>
      </w:pPr>
      <w:r>
        <w:rPr/>
        <w:t xml:space="preserve">Dispositions parasismiques</w:t>
      </w:r>
    </w:p>
    <w:p>
      <w:pPr/>
      <w:r>
        <w:rPr>
          <w:b/>
          <w:bCs/>
        </w:rPr>
        <w:t xml:space="preserve">Jurisprudence :</w:t>
      </w:r>
      <w:r>
        <w:rPr/>
        <w:t xml:space="preserve"> Le nombre de barres horizontales empilées est limité à 2 pour des raisons de faisabilité de ligature.</w:t>
      </w:r>
    </w:p>
    <w:p>
      <w:pPr/>
      <w:r>
        <w:rPr>
          <w:b/>
          <w:bCs/>
        </w:rPr>
        <w:t xml:space="preserve">Justification</w:t>
      </w:r>
    </w:p>
    <w:p>
      <w:pPr/>
      <w:r>
        <w:rPr/>
        <w:t xml:space="preserve">Pour les procédés où le mode de coulage diffère des préconisations du NF DTU 20.1 (Par exemple : hauteur de coulage supérieure à 1,50 m / jour ou diamètre maximal des granulats utilisés &gt; 12 mm...), un essai de remplissage (+carottage pour vérifier le bon remplissage) est nécessaire pour justifier de la faisabilité de la mise en œuvre.</w:t>
      </w:r>
    </w:p>
    <w:p>
      <w:pPr/>
      <w:r>
        <w:rPr/>
        <w:t xml:space="preserve">Pour l’utilisation en murs de soutènement, la faisabilité de la mise en œuvre doit être démontrée (positionnement des armatures, efficacité du bétonnage, liaison avec les fondations, ferraillage représentatif, y compris dans le cas des murs courbes si visés).</w:t>
      </w:r>
    </w:p>
    <w:p>
      <w:pPr/>
      <w:r>
        <w:rPr/>
        <w:t xml:space="preserve">Les murs de soutènement ne peuvent être visés que pour les opérations de bâtiment. Les murs de soutènement dans les ouvrages de génie civil ne peuvent pas figurer dans l’Avis Technique.</w:t>
      </w:r>
    </w:p>
    <w:p>
      <w:pPr/>
      <w:r>
        <w:rPr>
          <w:rStyle w:val="font_h1"/>
        </w:rPr>
        <w:t xml:space="preserve">6. Assistance technique</w:t>
      </w:r>
    </w:p>
    <w:p>
      <w:pPr/>
      <w:r>
        <w:rPr/>
        <w:t xml:space="preserve">Validé par le Groupe Spécialisé le 18/06/2020</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Murs sous charges verticales</w:t>
      </w:r>
    </w:p>
    <w:p>
      <w:pPr/>
      <w:r>
        <w:rPr/>
        <w:t xml:space="preserve">Validé par le Groupe Spécialisé le 03/02/2026</w:t>
      </w:r>
    </w:p>
    <w:p>
      <w:pPr/>
      <w:r>
        <w:rPr>
          <w:b/>
          <w:bCs/>
        </w:rPr>
        <w:t xml:space="preserve">Description</w:t>
      </w:r>
    </w:p>
    <w:p>
      <w:pPr/>
      <w:r>
        <w:rPr/>
        <w:t xml:space="preserve">Pour chaque type de blocs coffrage utilisé en coffrage de mur porteur, indiquer la résistance caractéristique ou de dimensionnement des murs sous charges verticales.</w:t>
      </w:r>
    </w:p>
    <w:p>
      <w:pPr/>
      <w:r>
        <w:rPr>
          <w:b/>
          <w:bCs/>
        </w:rPr>
        <w:t xml:space="preserve">Critères d'évaluation</w:t>
      </w:r>
    </w:p>
    <w:p>
      <w:pPr/>
      <w:r>
        <w:rPr/>
        <w:t xml:space="preserve">L'évaluation est réalisée dans tous les cas en conformité avec l'Eurocode 0. Elle peut être réalisée par calcul conformément au NF DTU 20.1.</w:t>
      </w:r>
    </w:p>
    <w:p>
      <w:pPr/>
      <w:r>
        <w:rPr/>
        <w:t xml:space="preserve">S'il s'agit de blocs coffrages en béton de granulats courants permettant la reconstitution de voiles continus en béton, la section des entretoises de ces blocs peut être prise dans le calcul de la section résistante.</w:t>
      </w:r>
    </w:p>
    <w:p>
      <w:pPr/>
      <w:r>
        <w:rPr/>
        <w:t xml:space="preserve">Sauf justification expérimentale, la section des parois de coffrage n'est pas prise en compte dans le calcul de la section résistante.</w:t>
      </w:r>
    </w:p>
    <w:p>
      <w:pPr>
        <w:ind w:left="720" w:right="0"/>
      </w:pPr>
      <w:r>
        <w:rPr>
          <w:rStyle w:val="font_h2"/>
        </w:rPr>
        <w:t xml:space="preserve">7.2. Mur sous charges de vent</w:t>
      </w:r>
    </w:p>
    <w:p>
      <w:pPr/>
      <w:r>
        <w:rPr/>
        <w:t xml:space="preserve">Validé par le Groupe Spécialisé le 27/11/2018</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3"/>
        </w:numPr>
      </w:pPr>
      <w:r>
        <w:rPr/>
        <w:t xml:space="preserve">Si le procédé le permet, une méthode de justification basée sur les eurocodes EN 1990 et EN 1992-1-1 est envisageable ;</w:t>
      </w:r>
    </w:p>
    <w:p>
      <w:pPr>
        <w:pPr/>
        <w:numPr>
          <w:ilvl w:val="0"/>
          <w:numId w:val="13"/>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7.3. Mur sous action sismique</w:t>
      </w:r>
    </w:p>
    <w:p>
      <w:pPr/>
      <w:r>
        <w:rPr/>
        <w:t xml:space="preserve">Validé par le Groupe Spécialisé le 27/11/2018</w:t>
      </w:r>
    </w:p>
    <w:p>
      <w:pPr/>
      <w:r>
        <w:rPr>
          <w:b/>
          <w:bCs/>
        </w:rPr>
        <w:t xml:space="preserve">Description</w:t>
      </w:r>
    </w:p>
    <w:p>
      <w:pPr/>
      <w:r>
        <w:rPr/>
        <w:t xml:space="preserve">Si les ouvrages nécessitant des dispositions parasismiques sont visés, les éléments de calcul doivent être indiqués: caractéristiques des murs, méthode de calcul et coefficient de comportement</w:t>
      </w:r>
    </w:p>
    <w:p>
      <w:pPr/>
      <w:r>
        <w:rPr>
          <w:b/>
          <w:bCs/>
        </w:rPr>
        <w:t xml:space="preserve">Justification</w:t>
      </w:r>
    </w:p>
    <w:p>
      <w:pPr/>
      <w:r>
        <w:rPr/>
        <w:t xml:space="preserve">Deux modes de justification sont possibles: </w:t>
      </w:r>
    </w:p>
    <w:p>
      <w:pPr>
        <w:pPr/>
        <w:numPr>
          <w:ilvl w:val="0"/>
          <w:numId w:val="14"/>
        </w:numPr>
      </w:pPr>
      <w:r>
        <w:rPr/>
        <w:t xml:space="preserve">Si le procédé le permet, une méthode de justification basée sur les eurocodes EN 1992-1-1 et EN-1998 est envisageable ; </w:t>
      </w:r>
    </w:p>
    <w:p>
      <w:pPr>
        <w:pPr/>
        <w:numPr>
          <w:ilvl w:val="0"/>
          <w:numId w:val="14"/>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Une note de calcul basée sur les éléments de justification doit permettre de couvrir le domaine d'emploi revendiqué</w:t>
      </w:r>
    </w:p>
    <w:p>
      <w:pPr>
        <w:ind w:left="720" w:right="0"/>
      </w:pPr>
      <w:r>
        <w:rPr>
          <w:rStyle w:val="font_h2"/>
        </w:rPr>
        <w:t xml:space="preserve">7.4. Prescriptions de dimensionnement concernant les cas où la liaison mur/plancher n'est pas traditionnelle</w:t>
      </w:r>
    </w:p>
    <w:p>
      <w:pPr/>
      <w:r>
        <w:rPr/>
        <w:t xml:space="preserve">Validé par le Groupe Spécialisé le 14/05/2015</w:t>
      </w:r>
    </w:p>
    <w:p>
      <w:pPr/>
      <w:r>
        <w:rPr>
          <w:b/>
          <w:bCs/>
        </w:rPr>
        <w:t xml:space="preserve">Description</w:t>
      </w:r>
    </w:p>
    <w:p>
      <w:pPr/>
      <w:r>
        <w:rPr/>
        <w:t xml:space="preserve">Dans le cas de procédés où la liaison mur/plancher n'est pas réalisée de manière traditionnelle: Il conviendra de décrire comment le dimensionnement de l'ouvrage est réalisé. Ce mode de dimensionnement doit être justifié vis-à-vis des différentes sollicitations applicables à l'ouvrage (mécaniques, thermiques, sismiques, feu...)</w:t>
      </w:r>
    </w:p>
    <w:p>
      <w:pPr/>
      <w:r>
        <w:rPr>
          <w:rStyle w:val="font_h1"/>
        </w:rPr>
        <w:t xml:space="preserve">8. Résistance au feu</w:t>
      </w:r>
    </w:p>
    <w:p>
      <w:pPr/>
      <w:r>
        <w:rPr/>
        <w:t xml:space="preserve">Validé par le Groupe Spécialisé le 18/06/2020</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18/06/2020</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15"/>
        </w:numPr>
      </w:pPr>
      <w:r>
        <w:rPr/>
        <w:t xml:space="preserve">Rapports d’essais de détermination des indices d’affaiblissement acoustique des murs de moins de 10 ans.</w:t>
      </w:r>
    </w:p>
    <w:p>
      <w:pPr>
        <w:pPr/>
        <w:numPr>
          <w:ilvl w:val="0"/>
          <w:numId w:val="15"/>
        </w:numPr>
      </w:pPr>
      <w:r>
        <w:rPr/>
        <w:t xml:space="preserve">PV acoustique donnant l’indice d’affaiblissement global Rw des parois</w:t>
      </w:r>
    </w:p>
    <w:p>
      <w:pPr>
        <w:pPr/>
        <w:numPr>
          <w:ilvl w:val="0"/>
          <w:numId w:val="15"/>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18/06/2020</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16"/>
        </w:numPr>
      </w:pPr>
      <w:r>
        <w:rPr/>
        <w:t xml:space="preserve">Fourniture de la valeur de la conductivité utile visée λ</w:t>
      </w:r>
      <w:r>
        <w:rPr>
          <w:vertAlign w:val="subscript"/>
        </w:rPr>
        <w:t xml:space="preserve">utile</w:t>
      </w:r>
      <w:r>
        <w:rPr/>
        <w:t xml:space="preserve"> pour chaque élément de la gamme (matériau constitutif des blocs et isolant éventuellement inséré dans les blocs)</w:t>
      </w:r>
    </w:p>
    <w:p>
      <w:pPr>
        <w:pPr/>
        <w:numPr>
          <w:ilvl w:val="0"/>
          <w:numId w:val="16"/>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6"/>
        </w:numPr>
      </w:pPr>
      <w:r>
        <w:rPr/>
        <w:t xml:space="preserve">Validation des valeurs des coefficients de transmission thermique surfaciques et linéiques à la jonction des points singuliers les plus courants. </w:t>
      </w:r>
    </w:p>
    <w:p>
      <w:pPr/>
      <w:r>
        <w:rPr/>
        <w:t xml:space="preserve">NB : Pour les éléments qui ne sont pas certifiés : Possibilité d’utiliser les valeurs déclarées majorées de 15% selon les règles Th-U.</w:t>
      </w:r>
    </w:p>
    <w:p>
      <w:pPr/>
      <w:r>
        <w:rPr>
          <w:rStyle w:val="font_h1"/>
        </w:rPr>
        <w:t xml:space="preserve">11. Revêtements</w:t>
      </w:r>
    </w:p>
    <w:p>
      <w:pPr/>
      <w:r>
        <w:rPr/>
        <w:t xml:space="preserve">Validé par le Groupe Spécialisé le 17/12/2015</w:t>
      </w:r>
    </w:p>
    <w:p>
      <w:pPr/>
      <w:r>
        <w:rPr>
          <w:b/>
          <w:bCs/>
        </w:rPr>
        <w:t xml:space="preserve">Description</w:t>
      </w:r>
    </w:p>
    <w:p>
      <w:pPr/>
      <w:r>
        <w:rPr/>
        <w:t xml:space="preserve">Justification de la tenue des revêtements intérieurs et extérieurs visés.</w:t>
      </w:r>
    </w:p>
    <w:p>
      <w:pPr/>
      <w:r>
        <w:rPr/>
        <w:t xml:space="preserve">En ce qui concerne les acrotères, l'enduit utilisé doit être de classe d'absorption d'eau par capillarité W2. Cet enduit doit être appliqué sur toutes les faces de l'acrotère considéré et renforcé par un treillis.</w:t>
      </w:r>
    </w:p>
    <w:p>
      <w:pPr/>
      <w:r>
        <w:rPr>
          <w:b/>
          <w:bCs/>
        </w:rPr>
        <w:t xml:space="preserve">Justification</w:t>
      </w:r>
    </w:p>
    <w:p>
      <w:pPr>
        <w:pPr/>
        <w:numPr>
          <w:ilvl w:val="0"/>
          <w:numId w:val="17"/>
        </w:numPr>
      </w:pPr>
      <w:r>
        <w:rPr/>
        <w:t xml:space="preserve">Lorsque le matériau le permet, renvoi direct au classement des supports du DTU 26.1.</w:t>
      </w:r>
    </w:p>
    <w:p>
      <w:pPr>
        <w:pPr/>
        <w:numPr>
          <w:ilvl w:val="0"/>
          <w:numId w:val="17"/>
        </w:numPr>
      </w:pPr>
      <w:r>
        <w:rPr/>
        <w:t xml:space="preserve">Rapport d'essai d'adhérence selon les indications du DTU 26.1 pour l'extérieur ou </w:t>
      </w:r>
      <w:r>
        <w:rPr>
          <w:i/>
          <w:iCs/>
        </w:rPr>
        <w:t xml:space="preserve">protocole d'essai du GS16 pour les revêtements intérieurs</w:t>
      </w:r>
      <w:r>
        <w:rPr/>
        <w:t xml:space="preserve">.</w:t>
      </w:r>
    </w:p>
    <w:p>
      <w:pPr/>
      <w:r>
        <w:rPr>
          <w:b/>
          <w:bCs/>
        </w:rPr>
        <w:t xml:space="preserve">Critères d'évaluation</w:t>
      </w:r>
    </w:p>
    <w:p>
      <w:pPr>
        <w:pPr/>
        <w:numPr>
          <w:ilvl w:val="0"/>
          <w:numId w:val="18"/>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18"/>
        </w:numPr>
      </w:pPr>
      <w:r>
        <w:rPr/>
        <w:t xml:space="preserve">L'essai des revêtements intérieur doit permettre de justifier une adhérence minimale des enduits.</w:t>
      </w:r>
    </w:p>
    <w:p>
      <w:pPr/>
      <w:r>
        <w:rPr>
          <w:rStyle w:val="font_h1"/>
        </w:rPr>
        <w:t xml:space="preserve">12. Imperméabilité</w:t>
      </w:r>
    </w:p>
    <w:p>
      <w:pPr/>
      <w:r>
        <w:rPr/>
        <w:t xml:space="preserve">Validé par le Groupe Spécialisé le 18/06/2020</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19"/>
        </w:numPr>
      </w:pPr>
      <w:r>
        <w:rPr/>
        <w:t xml:space="preserve">Pour maçonneries destinées à être laissées apparentes, essais d’imperméabilité à l’eau et à l’air.</w:t>
      </w:r>
    </w:p>
    <w:p>
      <w:pPr>
        <w:pPr/>
        <w:numPr>
          <w:ilvl w:val="0"/>
          <w:numId w:val="19"/>
        </w:numPr>
      </w:pPr>
      <w:r>
        <w:rPr/>
        <w:t xml:space="preserve">Pour une utilisation en mur de sous-sol, justification de l’efficacité des dispositions présentées au dossier technique.</w:t>
      </w:r>
    </w:p>
    <w:p>
      <w:pPr>
        <w:pPr/>
        <w:numPr>
          <w:ilvl w:val="0"/>
          <w:numId w:val="19"/>
        </w:numPr>
      </w:pPr>
      <w:r>
        <w:rPr/>
        <w:t xml:space="preserve">Certificats CE des produits d’imperméabilisation.</w:t>
      </w:r>
    </w:p>
    <w:p>
      <w:pPr/>
      <w:r>
        <w:rPr>
          <w:rStyle w:val="font_h1"/>
        </w:rPr>
        <w:t xml:space="preserve">13. Références</w:t>
      </w:r>
    </w:p>
    <w:p>
      <w:pPr/>
      <w:r>
        <w:rPr/>
        <w:t xml:space="preserve">Validé par le Groupe Spécialisé le 18/06/2020</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14/05/2015</w:t>
      </w:r>
    </w:p>
    <w:p>
      <w:pPr/>
      <w:r>
        <w:rPr>
          <w:b/>
          <w:bCs/>
        </w:rPr>
        <w:t xml:space="preserve">Description</w:t>
      </w:r>
    </w:p>
    <w:p>
      <w:pPr/>
      <w:r>
        <w:rPr/>
        <w:t xml:space="preserve">Note préalable: Tous les schémas et figures doivent être à l'échelle et cotés.</w:t>
      </w:r>
    </w:p>
    <w:p>
      <w:pPr>
        <w:pPr/>
        <w:numPr>
          <w:ilvl w:val="0"/>
          <w:numId w:val="20"/>
        </w:numPr>
      </w:pPr>
      <w:r>
        <w:rPr/>
        <w:t xml:space="preserve">Dessins des éléments de maçonnerie (courants et accessoires).</w:t>
      </w:r>
    </w:p>
    <w:p>
      <w:pPr>
        <w:pPr/>
        <w:numPr>
          <w:ilvl w:val="0"/>
          <w:numId w:val="20"/>
        </w:numPr>
      </w:pPr>
      <w:r>
        <w:rPr/>
        <w:t xml:space="preserve">Le principe de ferraillage de la liaison plancher/façade doit être représenté.</w:t>
      </w:r>
    </w:p>
    <w:p>
      <w:pPr>
        <w:pPr/>
        <w:numPr>
          <w:ilvl w:val="0"/>
          <w:numId w:val="20"/>
        </w:numPr>
      </w:pPr>
      <w:r>
        <w:rPr/>
        <w:t xml:space="preserve">Illustration des outils de pose.</w:t>
      </w:r>
    </w:p>
    <w:p>
      <w:pPr>
        <w:pPr/>
        <w:numPr>
          <w:ilvl w:val="0"/>
          <w:numId w:val="20"/>
        </w:numPr>
      </w:pPr>
      <w:r>
        <w:rPr/>
        <w:t xml:space="preserve">Coupes horizontales et/ou verticales des cas de mise en œuvre décrits au chapitre A.5. </w:t>
      </w:r>
    </w:p>
    <w:p>
      <w:pPr>
        <w:pPr/>
        <w:numPr>
          <w:ilvl w:val="0"/>
          <w:numId w:val="20"/>
        </w:numPr>
      </w:pPr>
      <w:r>
        <w:rPr/>
        <w:t xml:space="preserve">Dessins des ouvrages spécifiques (soubassement, murs enterrés, acrotères…)</w:t>
      </w:r>
    </w:p>
    <w:p>
      <w:pPr>
        <w:pPr/>
        <w:numPr>
          <w:ilvl w:val="0"/>
          <w:numId w:val="20"/>
        </w:numPr>
      </w:pPr>
      <w:r>
        <w:rPr/>
        <w:t xml:space="preserve">Schémas illustrant la mise en œuvre des menuiseries (Sauf justification particulière, les menuiseries doivent être mises en œuvre sur du béton).</w:t>
      </w:r>
    </w:p>
    <w:p>
      <w:pPr>
        <w:pPr/>
        <w:numPr>
          <w:ilvl w:val="0"/>
          <w:numId w:val="20"/>
        </w:numPr>
      </w:pPr>
      <w:r>
        <w:rPr/>
        <w:t xml:space="preserve">Pour une utilisation en acrotères, coupe verticale précisant le positionnement des aciers de continuité verticaux, la réalisation du relevé d’étanchéité et le renforcement d’enduit à la jonction acrotère-murs sous-jacent. Ces coupes doivent représenter les armatures de chainage ainsi que tous les détails de couverture (pare vapeur, isolant, équerre, relevé d’étanchéité, couvertine…). Le relevé d’étanchéité doit être réalisé sur l’enduit.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49F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8F4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E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A1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6A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32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00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D5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2D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3C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C3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09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2026-05-31T04:54:29+02:00</dcterms:created>
  <dcterms:modified xsi:type="dcterms:W3CDTF">2026-05-31T04:54:29+02:00</dcterms:modified>
</cp:coreProperties>
</file>

<file path=docProps/custom.xml><?xml version="1.0" encoding="utf-8"?>
<Properties xmlns="http://schemas.openxmlformats.org/officeDocument/2006/custom-properties" xmlns:vt="http://schemas.openxmlformats.org/officeDocument/2006/docPropsVTypes"/>
</file>