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 isolant</w:t>
      </w:r>
    </w:p>
    <w:p>
      <w:pPr/>
      <w:r>
        <w:rPr>
          <w:rStyle w:val="font_h1"/>
        </w:rPr>
        <w:t xml:space="preserve">1. Mode de commercialisation</w:t>
      </w:r>
    </w:p>
    <w:p>
      <w:pPr>
        <w:ind w:left="720" w:right="0"/>
      </w:pPr>
      <w:r>
        <w:rPr>
          <w:rStyle w:val="font_h2"/>
        </w:rPr>
        <w:t xml:space="preserve">1.1. Distribution</w:t>
      </w:r>
    </w:p>
    <w:p>
      <w:pPr/>
      <w:r>
        <w:rPr/>
        <w:t xml:space="preserve">Validé par le Groupe Spécialisé le 27/11/2018</w:t>
      </w:r>
    </w:p>
    <w:p>
      <w:pPr/>
      <w:r>
        <w:rPr>
          <w:b/>
          <w:bCs/>
        </w:rPr>
        <w:t xml:space="preserve">Description</w:t>
      </w:r>
    </w:p>
    <w:p>
      <w:pPr/>
      <w:r>
        <w:rPr/>
        <w:t xml:space="preserve">Description du mode de distribution.</w:t>
      </w:r>
    </w:p>
    <w:p>
      <w:pPr>
        <w:ind w:left="720" w:right="0"/>
      </w:pPr>
      <w:r>
        <w:rPr>
          <w:rStyle w:val="font_h2"/>
        </w:rPr>
        <w:t xml:space="preserve">1.3. Mise sur le marché</w:t>
      </w:r>
    </w:p>
    <w:p>
      <w:pPr/>
      <w:r>
        <w:rPr/>
        <w:t xml:space="preserve">Validé par le Groupe Spécialisé le 22/06/2023</w:t>
      </w:r>
    </w:p>
    <w:p>
      <w:pPr/>
      <w:r>
        <w:rPr>
          <w:b/>
          <w:bCs/>
        </w:rPr>
        <w:t xml:space="preserve">Description</w:t>
      </w:r>
    </w:p>
    <w:p>
      <w:pPr/>
      <w:r>
        <w:rPr/>
        <w:t xml:space="preserve">En application du Règlement (UE) n°305/2011, le bloc de coffrage isolant peut faire l’objet d’une déclaration de performance établie (Ddp) par le fabricant sur la base de l’Evaluation Technique Européenne ETA selon l’EAD 340309-00-0305. Dans ce cas, le kit fait l'objet du marquage CE.</w:t>
      </w:r>
    </w:p>
    <w:p>
      <w:pPr/>
      <w:r>
        <w:rPr>
          <w:b/>
          <w:bCs/>
        </w:rPr>
        <w:t xml:space="preserve">Justification</w:t>
      </w:r>
    </w:p>
    <w:p>
      <w:pPr/>
      <w:r>
        <w:rPr/>
        <w:t xml:space="preserve">ETA établi selon l’EAD 340309-00-0305</w:t>
      </w:r>
    </w:p>
    <w:p>
      <w:pPr/>
      <w:r>
        <w:rPr/>
        <w:t xml:space="preserve">Déclaration de performance (Ddp)</w:t>
      </w:r>
    </w:p>
    <w:p>
      <w:pPr/>
      <w:r>
        <w:rPr/>
        <w:t xml:space="preserve">Preuve de marquage CE</w:t>
      </w:r>
    </w:p>
    <w:p>
      <w:pPr/>
      <w:r>
        <w:rPr>
          <w:rStyle w:val="font_h1"/>
        </w:rPr>
        <w:t xml:space="preserve">2. Description</w:t>
      </w:r>
    </w:p>
    <w:p>
      <w:pPr>
        <w:ind w:left="720" w:right="0"/>
      </w:pPr>
      <w:r>
        <w:rPr>
          <w:rStyle w:val="font_h2"/>
        </w:rPr>
        <w:t xml:space="preserve">2.1. Principe</w:t>
      </w:r>
    </w:p>
    <w:p>
      <w:pPr/>
      <w:r>
        <w:rPr/>
        <w:t xml:space="preserve">Validé par le Groupe Spécialisé le 22/06/2023</w:t>
      </w:r>
    </w:p>
    <w:p>
      <w:pPr/>
      <w:r>
        <w:rPr>
          <w:b/>
          <w:bCs/>
        </w:rPr>
        <w:t xml:space="preserve">Description</w:t>
      </w:r>
    </w:p>
    <w:p>
      <w:pPr/>
      <w:r>
        <w:rPr/>
        <w:t xml:space="preserve">Descriptif sommaire du procédé (nature isolant, densité, nature et type d'entretoise, épaisseurs des isolants et épaisseurs de voile béton).</w:t>
      </w:r>
    </w:p>
    <w:p>
      <w:pPr>
        <w:ind w:left="720" w:right="0"/>
      </w:pPr>
      <w:r>
        <w:rPr>
          <w:rStyle w:val="font_h2"/>
        </w:rPr>
        <w:t xml:space="preserve">2.2. Caractéristiques des composants</w:t>
      </w:r>
    </w:p>
    <w:p>
      <w:pPr>
        <w:ind w:left="1440" w:right="0"/>
      </w:pPr>
      <w:r>
        <w:rPr>
          <w:rStyle w:val="font_h3"/>
        </w:rPr>
        <w:t xml:space="preserve">2.2.1. Matériaux et éléments constitutifs du bloc de coffrage isolant</w:t>
      </w:r>
    </w:p>
    <w:p>
      <w:pPr/>
      <w:r>
        <w:rPr/>
        <w:t xml:space="preserve">Validé par le Groupe Spécialisé le 27/11/2018</w:t>
      </w:r>
    </w:p>
    <w:p>
      <w:pPr/>
      <w:r>
        <w:rPr>
          <w:b/>
          <w:bCs/>
        </w:rPr>
        <w:t xml:space="preserve">Description</w:t>
      </w:r>
    </w:p>
    <w:p>
      <w:pPr/>
      <w:r>
        <w:rPr/>
        <w:t xml:space="preserve">Définition des blocs de coffrages</w:t>
      </w:r>
    </w:p>
    <w:p>
      <w:pPr>
        <w:pPr/>
        <w:numPr>
          <w:ilvl w:val="0"/>
          <w:numId w:val="9"/>
        </w:numPr>
      </w:pPr>
      <w:r>
        <w:rPr/>
        <w:t xml:space="preserve">Nature, géométrie, tolérances des panneaux isolants extérieurs et intérieurs ;</w:t>
      </w:r>
    </w:p>
    <w:p>
      <w:pPr>
        <w:pPr/>
        <w:numPr>
          <w:ilvl w:val="0"/>
          <w:numId w:val="9"/>
        </w:numPr>
      </w:pPr>
      <w:r>
        <w:rPr/>
        <w:t xml:space="preserve">Nature, géométrie, tolérances des entretoises ;</w:t>
      </w:r>
    </w:p>
    <w:p>
      <w:pPr/>
      <w:r>
        <w:rPr/>
        <w:t xml:space="preserve">Définition et performances des matériaux :</w:t>
      </w:r>
    </w:p>
    <w:p>
      <w:pPr>
        <w:pPr/>
        <w:numPr>
          <w:ilvl w:val="0"/>
          <w:numId w:val="10"/>
        </w:numPr>
      </w:pPr>
      <w:r>
        <w:rPr/>
        <w:t xml:space="preserve">Caractéristiques mécaniques des panneaux isolants </w:t>
      </w:r>
    </w:p>
    <w:p>
      <w:pPr>
        <w:pPr/>
        <w:numPr>
          <w:ilvl w:val="0"/>
          <w:numId w:val="10"/>
        </w:numPr>
      </w:pPr>
      <w:r>
        <w:rPr/>
        <w:t xml:space="preserve">Caractéristiques mécaniques des entretoises (résistances en traction des entretoises) ;</w:t>
      </w:r>
    </w:p>
    <w:p>
      <w:pPr>
        <w:pPr/>
        <w:numPr>
          <w:ilvl w:val="0"/>
          <w:numId w:val="10"/>
        </w:numPr>
      </w:pPr>
      <w:r>
        <w:rPr/>
        <w:t xml:space="preserve">Euroclasse des panneaux isolants ;</w:t>
      </w:r>
    </w:p>
    <w:p>
      <w:pPr>
        <w:pPr/>
        <w:numPr>
          <w:ilvl w:val="0"/>
          <w:numId w:val="10"/>
        </w:numPr>
      </w:pPr>
      <w:r>
        <w:rPr/>
        <w:t xml:space="preserve">Caractéristiques thermiques des panneaux isolants et des entretoises.</w:t>
      </w:r>
    </w:p>
    <w:p>
      <w:pPr>
        <w:ind w:left="1440" w:right="0"/>
      </w:pPr>
      <w:r>
        <w:rPr>
          <w:rStyle w:val="font_h3"/>
        </w:rPr>
        <w:t xml:space="preserve">2.2.2. Accessoires</w:t>
      </w:r>
    </w:p>
    <w:p>
      <w:pPr/>
      <w:r>
        <w:rPr/>
        <w:t xml:space="preserve">Validé par le Groupe Spécialisé le 27/11/2018</w:t>
      </w:r>
    </w:p>
    <w:p>
      <w:pPr/>
      <w:r>
        <w:rPr>
          <w:b/>
          <w:bCs/>
        </w:rPr>
        <w:t xml:space="preserve">Description</w:t>
      </w:r>
    </w:p>
    <w:p>
      <w:pPr/>
      <w:r>
        <w:rPr/>
        <w:t xml:space="preserve">Nature, géométrie et tolérances des blocs accessoires (panneaux d’about, blocs pour départ en parties enterrées, blocs pour acrotères, blocs pour bandes filantes…)</w:t>
      </w:r>
    </w:p>
    <w:p>
      <w:pPr/>
      <w:r>
        <w:rPr/>
        <w:t xml:space="preserve">Système d'étais le cas écheant</w:t>
      </w:r>
    </w:p>
    <w:p>
      <w:pPr>
        <w:ind w:left="1440" w:right="0"/>
      </w:pPr>
      <w:r>
        <w:rPr>
          <w:rStyle w:val="font_h3"/>
        </w:rPr>
        <w:t xml:space="preserve">2.2.3. Voile en béton</w:t>
      </w:r>
    </w:p>
    <w:p>
      <w:pPr>
        <w:ind w:left="2160" w:right="0"/>
      </w:pPr>
      <w:r>
        <w:rPr>
          <w:rStyle w:val="font_h3"/>
        </w:rPr>
        <w:t xml:space="preserve">2.2.3.1. Nature du béton</w:t>
      </w:r>
    </w:p>
    <w:p>
      <w:pPr/>
      <w:r>
        <w:rPr/>
        <w:t xml:space="preserve">Validé par le Groupe Spécialisé le 29/03/2022</w:t>
      </w:r>
    </w:p>
    <w:p>
      <w:pPr/>
      <w:r>
        <w:rPr>
          <w:b/>
          <w:bCs/>
        </w:rPr>
        <w:t xml:space="preserve">Description</w:t>
      </w:r>
    </w:p>
    <w:p>
      <w:pPr>
        <w:pPr/>
        <w:numPr>
          <w:ilvl w:val="0"/>
          <w:numId w:val="11"/>
        </w:numPr>
      </w:pPr>
      <w:r>
        <w:rPr/>
        <w:t xml:space="preserve">classe de consistance</w:t>
      </w:r>
    </w:p>
    <w:p>
      <w:pPr>
        <w:pPr/>
        <w:numPr>
          <w:ilvl w:val="0"/>
          <w:numId w:val="11"/>
        </w:numPr>
      </w:pPr>
      <w:r>
        <w:rPr/>
        <w:t xml:space="preserve">granulométrie</w:t>
      </w:r>
    </w:p>
    <w:p>
      <w:pPr>
        <w:pPr/>
        <w:numPr>
          <w:ilvl w:val="0"/>
          <w:numId w:val="11"/>
        </w:numPr>
      </w:pPr>
      <w:r>
        <w:rPr/>
        <w:t xml:space="preserve">classe de résistance à la compression</w:t>
      </w:r>
    </w:p>
    <w:p>
      <w:pPr>
        <w:pPr/>
        <w:numPr>
          <w:ilvl w:val="0"/>
          <w:numId w:val="11"/>
        </w:numPr>
      </w:pPr>
      <w:r>
        <w:rPr/>
        <w:t xml:space="preserve">recours ou non à la vibration du béton</w:t>
      </w:r>
    </w:p>
    <w:p>
      <w:pPr/>
      <w:r>
        <w:rPr>
          <w:b/>
          <w:bCs/>
        </w:rPr>
        <w:t xml:space="preserve">Justification</w:t>
      </w:r>
    </w:p>
    <w:p>
      <w:pPr/>
      <w:r>
        <w:rPr/>
        <w:t xml:space="preserve">Essai de remplissage de coffrage permettant de valider :</w:t>
      </w:r>
    </w:p>
    <w:p>
      <w:pPr>
        <w:pPr/>
        <w:numPr>
          <w:ilvl w:val="0"/>
          <w:numId w:val="12"/>
        </w:numPr>
      </w:pPr>
      <w:r>
        <w:rPr/>
        <w:t xml:space="preserve">résistance au coulage</w:t>
      </w:r>
    </w:p>
    <w:p>
      <w:pPr>
        <w:pPr/>
        <w:numPr>
          <w:ilvl w:val="0"/>
          <w:numId w:val="12"/>
        </w:numPr>
      </w:pPr>
      <w:r>
        <w:rPr/>
        <w:t xml:space="preserve">efficacité du remplissage</w:t>
      </w:r>
    </w:p>
    <w:p>
      <w:pPr/>
      <w:r>
        <w:rPr/>
        <w:t xml:space="preserve">L'essai doit être réalisé avec :</w:t>
      </w:r>
    </w:p>
    <w:p>
      <w:pPr>
        <w:pPr/>
        <w:numPr>
          <w:ilvl w:val="0"/>
          <w:numId w:val="13"/>
        </w:numPr>
      </w:pPr>
      <w:r>
        <w:rPr/>
        <w:t xml:space="preserve">la classe de consistance la plus élevée visée dans le Dossier Technique pour valider la résistance à la pression du béton frais sur les parois du coffrage</w:t>
      </w:r>
    </w:p>
    <w:p>
      <w:pPr>
        <w:pPr/>
        <w:numPr>
          <w:ilvl w:val="0"/>
          <w:numId w:val="13"/>
        </w:numPr>
      </w:pPr>
      <w:r>
        <w:rPr/>
        <w:t xml:space="preserve">la classe de consistance la moins élevée visée dans le Dossier Technique pour valider l’efficacité du remplissage.</w:t>
      </w:r>
    </w:p>
    <w:p>
      <w:pPr/>
      <w:r>
        <w:rPr/>
        <w:t xml:space="preserve">La vibration du béton telle que décrite dans le Dossier Technique doit avoir été testée lors de l'essai de remplissage.</w:t>
      </w:r>
    </w:p>
    <w:p>
      <w:pPr/>
      <w:r>
        <w:rPr>
          <w:b/>
          <w:bCs/>
        </w:rPr>
        <w:t xml:space="preserve">Critères d'évaluation</w:t>
      </w:r>
    </w:p>
    <w:p>
      <w:pPr/>
      <w:r>
        <w:rPr/>
        <w:t xml:space="preserve">Résistance du coffrage :</w:t>
      </w:r>
    </w:p>
    <w:p>
      <w:pPr>
        <w:pPr/>
        <w:numPr>
          <w:ilvl w:val="0"/>
          <w:numId w:val="14"/>
        </w:numPr>
      </w:pPr>
      <w:r>
        <w:rPr/>
        <w:t xml:space="preserve">absence de rupture du coffrage, absence de déformation irréversible des parois coffrantes, déformation inférieure à 5 mm.</w:t>
      </w:r>
    </w:p>
    <w:p>
      <w:pPr/>
      <w:r>
        <w:rPr/>
        <w:t xml:space="preserve">Efficacité du remplissage :</w:t>
      </w:r>
    </w:p>
    <w:p>
      <w:pPr>
        <w:pPr/>
        <w:numPr>
          <w:ilvl w:val="0"/>
          <w:numId w:val="15"/>
        </w:numPr>
      </w:pPr>
      <w:r>
        <w:rPr/>
        <w:t xml:space="preserve">absence de lacune, absence de ségrégation du béton, bon enrobage des armatures en acier.</w:t>
      </w:r>
    </w:p>
    <w:p>
      <w:pPr>
        <w:ind w:left="2160" w:right="0"/>
      </w:pPr>
      <w:r>
        <w:rPr>
          <w:rStyle w:val="font_h3"/>
        </w:rPr>
        <w:t xml:space="preserve">2.2.3.2. Dimensionnement du voile en béton</w:t>
      </w:r>
    </w:p>
    <w:p>
      <w:pPr/>
      <w:r>
        <w:rPr/>
        <w:t xml:space="preserve">Validé par le Groupe Spécialisé le 27/11/2018</w:t>
      </w:r>
    </w:p>
    <w:p>
      <w:pPr/>
      <w:r>
        <w:rPr>
          <w:b/>
          <w:bCs/>
        </w:rPr>
        <w:t xml:space="preserve">Description</w:t>
      </w:r>
    </w:p>
    <w:p>
      <w:pPr/>
      <w:r>
        <w:rPr/>
        <w:t xml:space="preserve">Armatures utilisées dans le voile en béton</w:t>
      </w:r>
    </w:p>
    <w:p>
      <w:pPr/>
      <w:r>
        <w:rPr/>
        <w:t xml:space="preserve">Méthode de dimensionnement en zone sismique et en zone non sismique.</w:t>
      </w:r>
    </w:p>
    <w:p>
      <w:pPr/>
      <w:r>
        <w:rPr>
          <w:b/>
          <w:bCs/>
        </w:rPr>
        <w:t xml:space="preserve">Justification</w:t>
      </w:r>
    </w:p>
    <w:p>
      <w:pPr/>
      <w:r>
        <w:rPr/>
        <w:t xml:space="preserve">Stabilité en phase transitoire : </w:t>
      </w:r>
    </w:p>
    <w:p>
      <w:pPr>
        <w:pPr/>
        <w:numPr>
          <w:ilvl w:val="0"/>
          <w:numId w:val="16"/>
        </w:numPr>
      </w:pPr>
      <w:r>
        <w:rPr/>
        <w:t xml:space="preserve">Essai de remplissage des blocs de coffrage isolant (constat de bon remplissage, non éclatement des blocs, mesure de la déformation des blocs en cours de remplissage, pas de cintrage irréversible significatif (valeur absolue de la flèche : 5 mm conformément au § 6.4.2 de l’ETAG 009) ;</w:t>
      </w:r>
    </w:p>
    <w:p>
      <w:pPr>
        <w:pPr/>
        <w:numPr>
          <w:ilvl w:val="0"/>
          <w:numId w:val="16"/>
        </w:numPr>
      </w:pPr>
      <w:r>
        <w:rPr/>
        <w:t xml:space="preserve">Essai de traction des entretoises dans les panneaux isolants.</w:t>
      </w:r>
    </w:p>
    <w:p>
      <w:pPr/>
      <w:r>
        <w:rPr/>
        <w:t xml:space="preserve">Stabilité en phase permanente</w:t>
      </w:r>
    </w:p>
    <w:p>
      <w:pPr>
        <w:pPr/>
        <w:numPr>
          <w:ilvl w:val="0"/>
          <w:numId w:val="17"/>
        </w:numPr>
      </w:pPr>
      <w:r>
        <w:rPr/>
        <w:t xml:space="preserve">Justification de la résistance en compression des murs sous chargement vertical ;</w:t>
      </w:r>
    </w:p>
    <w:p>
      <w:pPr>
        <w:pPr/>
        <w:numPr>
          <w:ilvl w:val="0"/>
          <w:numId w:val="17"/>
        </w:numPr>
      </w:pPr>
      <w:r>
        <w:rPr/>
        <w:t xml:space="preserve">Justification des performances de contreventement des murs sous chargement horizontal en tenant compte des reprises de bétonnage ;</w:t>
      </w:r>
    </w:p>
    <w:p>
      <w:pPr>
        <w:pPr/>
        <w:numPr>
          <w:ilvl w:val="0"/>
          <w:numId w:val="17"/>
        </w:numPr>
      </w:pPr>
      <w:r>
        <w:rPr/>
        <w:t xml:space="preserve">Justification des prescriptions dues à la présence des entretoises (enrobage des armatures et des entretoises).</w:t>
      </w:r>
    </w:p>
    <w:p>
      <w:pPr/>
      <w:r>
        <w:rPr/>
        <w:t xml:space="preserve">Stabilité en zones sismiques : </w:t>
      </w:r>
    </w:p>
    <w:p>
      <w:pPr>
        <w:pPr/>
        <w:numPr>
          <w:ilvl w:val="0"/>
          <w:numId w:val="18"/>
        </w:numPr>
      </w:pPr>
      <w:r>
        <w:rPr/>
        <w:t xml:space="preserve">Justification du coefficient de comportement si l’épaisseur ou la configuration ne correspond pas aux exigences de la norme N EN 1998-1</w:t>
      </w:r>
    </w:p>
    <w:p>
      <w:pPr/>
      <w:r>
        <w:rPr>
          <w:b/>
          <w:bCs/>
        </w:rPr>
        <w:t xml:space="preserve">Critères d'évaluation</w:t>
      </w:r>
    </w:p>
    <w:p>
      <w:pPr/>
      <w:r>
        <w:rPr/>
        <w:t xml:space="preserve">Note de calculs de murs représentatifs du domaine d'emploi avec conclusion positive.</w:t>
      </w:r>
    </w:p>
    <w:p>
      <w:pPr>
        <w:ind w:left="1440" w:right="0"/>
      </w:pPr>
      <w:r>
        <w:rPr>
          <w:rStyle w:val="font_h3"/>
        </w:rPr>
        <w:t xml:space="preserve">2.2.4. Revêtements de finitions associés</w:t>
      </w:r>
    </w:p>
    <w:p>
      <w:pPr>
        <w:ind w:left="2160" w:right="0"/>
      </w:pPr>
      <w:r>
        <w:rPr>
          <w:rStyle w:val="font_h3"/>
        </w:rPr>
        <w:t xml:space="preserve">2.2.4.1. Revêtements extérieurs</w:t>
      </w:r>
    </w:p>
    <w:p>
      <w:pPr/>
      <w:r>
        <w:rPr/>
        <w:t xml:space="preserve">Validé par le Groupe Spécialisé le 27/11/2018</w:t>
      </w:r>
    </w:p>
    <w:p>
      <w:pPr/>
      <w:r>
        <w:rPr>
          <w:b/>
          <w:bCs/>
        </w:rPr>
        <w:t xml:space="preserve">Description</w:t>
      </w:r>
    </w:p>
    <w:p>
      <w:pPr/>
      <w:r>
        <w:rPr/>
        <w:t xml:space="preserve">Dénominations commerciales des revêtements extérieurs visés.</w:t>
      </w:r>
    </w:p>
    <w:p>
      <w:pPr/>
      <w:r>
        <w:rPr>
          <w:b/>
          <w:bCs/>
        </w:rPr>
        <w:t xml:space="preserve">Justification</w:t>
      </w:r>
    </w:p>
    <w:p>
      <w:pPr/>
      <w:r>
        <w:rPr/>
        <w:t xml:space="preserve">Dans le cas des enduits :</w:t>
      </w:r>
    </w:p>
    <w:p>
      <w:pPr>
        <w:pPr/>
        <w:numPr>
          <w:ilvl w:val="0"/>
          <w:numId w:val="19"/>
        </w:numPr>
      </w:pPr>
      <w:r>
        <w:rPr/>
        <w:t xml:space="preserve">Avis technique ou Document Technique d’Application en cours de validité du système d’enduit sur isolant visé;</w:t>
      </w:r>
    </w:p>
    <w:p>
      <w:pPr>
        <w:pPr/>
        <w:numPr>
          <w:ilvl w:val="0"/>
          <w:numId w:val="19"/>
        </w:numPr>
      </w:pPr>
      <w:r>
        <w:rPr/>
        <w:t xml:space="preserve">Rapport d’adhérence des systèmes d’enduit sur le bloc de coffrage à l’état initial et à l’état vieilli, conformément au § 5.1.7.1.2  de l’ETAG 004 à l’état initial et à l’état vieilli (7 jours eau + 7 jours séchage), avec résultats documentés (résultats individuels, profils de rupture, préparation du support, dimensions des éprouvettes, photographies des corps d’épreuve).</w:t>
      </w:r>
    </w:p>
    <w:p>
      <w:pPr>
        <w:pPr/>
        <w:numPr>
          <w:ilvl w:val="0"/>
          <w:numId w:val="19"/>
        </w:numPr>
      </w:pPr>
      <w:r>
        <w:rPr/>
        <w:t xml:space="preserve">Justification du délai avant mise en œuvre des revêtements extérieurs s’il est supérieur à 15 jours.</w:t>
      </w:r>
    </w:p>
    <w:p>
      <w:pPr>
        <w:pPr/>
        <w:numPr>
          <w:ilvl w:val="0"/>
          <w:numId w:val="19"/>
        </w:numPr>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 ;</w:t>
      </w:r>
    </w:p>
    <w:p>
      <w:pPr/>
      <w:r>
        <w:rPr>
          <w:b/>
          <w:bCs/>
        </w:rPr>
        <w:t xml:space="preserve">Critères d'évaluation</w:t>
      </w:r>
    </w:p>
    <w:p>
      <w:pPr/>
      <w:r>
        <w:rPr/>
        <w:t xml:space="preserve">Les performances attendues pour la réaction au feu du procédé revêtu sont visés dans le  règlement de sécurité incendie dans les établissements recevant du public (Arrêté du 25 juin 1980), et dans l’Arrêté du 31 janvier 1986 relatif à la protection contre l'incendie des bâtiments d'habitation.</w:t>
      </w:r>
    </w:p>
    <w:p>
      <w:pPr>
        <w:ind w:left="2160" w:right="0"/>
      </w:pPr>
      <w:r>
        <w:rPr>
          <w:rStyle w:val="font_h3"/>
        </w:rPr>
        <w:t xml:space="preserve">2.2.4.2. Revêtements intérieurs</w:t>
      </w:r>
    </w:p>
    <w:p>
      <w:pPr/>
      <w:r>
        <w:rPr/>
        <w:t xml:space="preserve">Validé par le Groupe Spécialisé le 27/11/2018</w:t>
      </w:r>
    </w:p>
    <w:p>
      <w:pPr/>
      <w:r>
        <w:rPr>
          <w:b/>
          <w:bCs/>
        </w:rPr>
        <w:t xml:space="preserve">Description</w:t>
      </w:r>
    </w:p>
    <w:p>
      <w:pPr/>
      <w:r>
        <w:rPr/>
        <w:t xml:space="preserve">Types de revêtements visés (cloisons, plâtre projeté, etc), modes de fixation (produit de collage, ossature,…).</w:t>
      </w:r>
    </w:p>
    <w:p>
      <w:pPr/>
      <w:r>
        <w:rPr>
          <w:b/>
          <w:bCs/>
        </w:rPr>
        <w:t xml:space="preserve">Justification</w:t>
      </w:r>
    </w:p>
    <w:p>
      <w:pPr>
        <w:pPr/>
        <w:numPr>
          <w:ilvl w:val="0"/>
          <w:numId w:val="20"/>
        </w:numPr>
      </w:pPr>
      <w:r>
        <w:rPr/>
        <w:t xml:space="preserve">Justification de l’adhérence des produits de collage des cloisons d’habillage.</w:t>
      </w:r>
    </w:p>
    <w:p>
      <w:pPr>
        <w:pPr/>
        <w:numPr>
          <w:ilvl w:val="0"/>
          <w:numId w:val="20"/>
        </w:numPr>
      </w:pPr>
      <w:r>
        <w:rPr/>
        <w:t xml:space="preserve">Justification de l'adhérence des finitions par plâtre projeté.</w:t>
      </w:r>
    </w:p>
    <w:p>
      <w:pPr>
        <w:pPr/>
        <w:numPr>
          <w:ilvl w:val="0"/>
          <w:numId w:val="20"/>
        </w:numPr>
      </w:pPr>
      <w:r>
        <w:rPr/>
        <w:t xml:space="preserve">Justification de la résistance aux chocs si besoin par essais de chocs de corps mous et  de corps durs</w:t>
      </w:r>
    </w:p>
    <w:p>
      <w:pPr/>
      <w:r>
        <w:rPr>
          <w:b/>
          <w:bCs/>
        </w:rPr>
        <w:t xml:space="preserve">Critères d'évaluation</w:t>
      </w:r>
    </w:p>
    <w:p>
      <w:pPr>
        <w:pPr/>
        <w:numPr>
          <w:ilvl w:val="0"/>
          <w:numId w:val="21"/>
        </w:numPr>
      </w:pPr>
      <w:r>
        <w:rPr/>
        <w:t xml:space="preserve">Finitions par plâtre projeté : une adhérence de 0,08 MPa minimum est nécessaire ou une rupture cohésive dans l'isolant.</w:t>
      </w:r>
    </w:p>
    <w:p>
      <w:pPr>
        <w:pPr/>
        <w:numPr>
          <w:ilvl w:val="0"/>
          <w:numId w:val="21"/>
        </w:numPr>
      </w:pPr>
      <w:r>
        <w:rPr/>
        <w:t xml:space="preserve">Doublages : se référer aux exigences de résistance aux chocs du GS09.</w:t>
      </w:r>
    </w:p>
    <w:p>
      <w:pPr>
        <w:ind w:left="1440" w:right="0"/>
      </w:pPr>
      <w:r>
        <w:rPr>
          <w:rStyle w:val="font_h3"/>
        </w:rPr>
        <w:t xml:space="preserve">2.2.5. Matériaux associés pour les traitements particuliers (parois enterrées, parois enterrées en zones à risque de termites)</w:t>
      </w:r>
    </w:p>
    <w:p>
      <w:pPr>
        <w:ind w:left="720" w:right="0"/>
      </w:pPr>
      <w:r>
        <w:rPr>
          <w:rStyle w:val="font_h2"/>
        </w:rPr>
        <w:t xml:space="preserve">2.3. Domaine d'emploi visé</w:t>
      </w:r>
    </w:p>
    <w:p>
      <w:pPr/>
      <w:r>
        <w:rPr/>
        <w:t xml:space="preserve">Validé par le Groupe Spécialisé le 27/11/2018</w:t>
      </w:r>
    </w:p>
    <w:p>
      <w:pPr/>
      <w:r>
        <w:rPr>
          <w:b/>
          <w:bCs/>
        </w:rPr>
        <w:t xml:space="preserve">Description</w:t>
      </w:r>
    </w:p>
    <w:p>
      <w:pPr>
        <w:pPr/>
        <w:numPr>
          <w:ilvl w:val="0"/>
          <w:numId w:val="22"/>
        </w:numPr>
      </w:pPr>
      <w:r>
        <w:rPr/>
        <w:t xml:space="preserve">types d’ouvrages (catégories de bâtiments d’habitations, hauteur maximale des ouvrages visés…) ;</w:t>
      </w:r>
    </w:p>
    <w:p>
      <w:pPr>
        <w:pPr/>
        <w:numPr>
          <w:ilvl w:val="0"/>
          <w:numId w:val="22"/>
        </w:numPr>
      </w:pPr>
      <w:r>
        <w:rPr/>
        <w:t xml:space="preserve">types de murs (façades, murs séparatifs, murs enterrés…) ;</w:t>
      </w:r>
    </w:p>
    <w:p>
      <w:pPr>
        <w:pPr/>
        <w:numPr>
          <w:ilvl w:val="0"/>
          <w:numId w:val="22"/>
        </w:numPr>
      </w:pPr>
      <w:r>
        <w:rPr/>
        <w:t xml:space="preserve">localisation (France métropolitaine, DOM TOM, zones de sismicité) ;</w:t>
      </w:r>
    </w:p>
    <w:p>
      <w:pPr>
        <w:pPr/>
        <w:numPr>
          <w:ilvl w:val="0"/>
          <w:numId w:val="22"/>
        </w:numPr>
      </w:pPr>
      <w:r>
        <w:rPr/>
        <w:t xml:space="preserve">points singuliers visés (départ en parties enterrées, acrotères, balcons, bandes de protections sécurité incendie…).</w:t>
      </w:r>
    </w:p>
    <w:p>
      <w:pPr/>
      <w:r>
        <w:rPr>
          <w:b/>
          <w:bCs/>
        </w:rPr>
        <w:t xml:space="preserve">Justification</w:t>
      </w:r>
    </w:p>
    <w:p>
      <w:pPr/>
      <w:r>
        <w:rPr/>
        <w:t xml:space="preserve">Note de calcul du voile en béton armé pour un ouvrage représentatif du domaine d'emploi visé.</w:t>
      </w:r>
    </w:p>
    <w:p>
      <w:pPr/>
      <w:r>
        <w:rPr>
          <w:rStyle w:val="font_h1"/>
        </w:rPr>
        <w:t xml:space="preserve">3. Dispositions de conception</w:t>
      </w:r>
    </w:p>
    <w:p>
      <w:pPr>
        <w:ind w:left="720" w:right="0"/>
      </w:pPr>
      <w:r>
        <w:rPr>
          <w:rStyle w:val="font_h2"/>
        </w:rPr>
        <w:t xml:space="preserve">3.1. Dimensionnement du voile béton</w:t>
      </w:r>
    </w:p>
    <w:p>
      <w:pPr/>
      <w:r>
        <w:rPr/>
        <w:t xml:space="preserve">Validé par le Groupe Spécialisé le 03/02/2026</w:t>
      </w:r>
    </w:p>
    <w:p>
      <w:pPr/>
      <w:r>
        <w:rPr>
          <w:b/>
          <w:bCs/>
        </w:rPr>
        <w:t xml:space="preserve">Description</w:t>
      </w:r>
    </w:p>
    <w:p>
      <w:pPr/>
      <w:r>
        <w:rPr/>
        <w:t xml:space="preserve">Les études de dimensionnement des armatures doivent être conduites par un Bureau d’Etudes en structures selon les normes et règlements en vigueur pour l’ouvrage.</w:t>
      </w:r>
    </w:p>
    <w:p>
      <w:pPr/>
      <w:r>
        <w:rPr/>
        <w:t xml:space="preserve">Il appartient au bureau d’étude structure de vérifier l’élancement, les efforts (normaux et tranchants) ainsi que le cisaillement.</w:t>
      </w:r>
    </w:p>
    <w:p>
      <w:pPr/>
      <w:r>
        <w:rPr/>
        <w:t xml:space="preserve">Les voiles en béton ou en béton armé doivent être conçus conformément à la norme NF EN 1992-1-1 et son annexe nationale, exception faite des armatures de peau (armatures minimales verticales et horizontales de surface continues et réparties) qui ne sont pas nécessaires dans la partie courante du voile.</w:t>
      </w:r>
    </w:p>
    <w:p>
      <w:pPr/>
      <w:r>
        <w:rPr/>
        <w:t xml:space="preserve">Il doit être tenu compte de la charge maximale admissible en situation d’incendie.</w:t>
      </w:r>
    </w:p>
    <w:p>
      <w:pPr/>
      <w:r>
        <w:rPr/>
        <w:t xml:space="preserve">Les reprises de bétonnages doivent être justifiées selon le § 6.2.5 de la NF EN 1992-1-1, en retenant c = 0,2 et μ=0,6. Le coefficient c est divisé par deux en zones sismiques.</w:t>
      </w:r>
    </w:p>
    <w:p>
      <w:pPr/>
      <w:r>
        <w:rPr/>
        <w:t xml:space="preserve">Pour les murs répondant au domaine d’application de la Section 12 de la norme EN 1992-1-1, les reprises de bétonnages doivent être justifiées de la même manière en prenant le coefficient ρ égal à 0.</w:t>
      </w:r>
    </w:p>
    <w:p>
      <w:pPr/>
      <w:r>
        <w:rPr/>
        <w:t xml:space="preserve">L’appui des planchers en phase définitive est à considérer comme un voile en béton armé.</w:t>
      </w:r>
    </w:p>
    <w:p>
      <w:pPr>
        <w:ind w:left="720" w:right="0"/>
      </w:pPr>
      <w:r>
        <w:rPr>
          <w:rStyle w:val="font_h2"/>
        </w:rPr>
        <w:t xml:space="preserve">3.2. Conditions de conception hygrothermique</w:t>
      </w:r>
    </w:p>
    <w:p>
      <w:pPr/>
      <w:r>
        <w:rPr/>
        <w:t xml:space="preserve">Validé par le Groupe Spécialisé le 22/06/2023</w:t>
      </w:r>
    </w:p>
    <w:p>
      <w:pPr/>
      <w:r>
        <w:rPr>
          <w:b/>
          <w:bCs/>
        </w:rPr>
        <w:t xml:space="preserve">Description</w:t>
      </w:r>
    </w:p>
    <w:p>
      <w:pPr/>
      <w:r>
        <w:rPr/>
        <w:t xml:space="preserve">Zones climatiques visées selon NF P 52-612 sans risque de condensation ou de développement fongique, ou avec des dispositions particulières dans le cas contraire.</w:t>
      </w:r>
    </w:p>
    <w:p>
      <w:pPr/>
      <w:r>
        <w:rPr>
          <w:b/>
          <w:bCs/>
        </w:rPr>
        <w:t xml:space="preserve">Justification</w:t>
      </w:r>
    </w:p>
    <w:p>
      <w:pPr/>
      <w:r>
        <w:rPr/>
        <w:t xml:space="preserve">Etude de transferts couplés chaleur-humidité à travers les matériauxconstituant les blocs de coffrage isolants avec les revêtements intérieurs et extérieurs visés.</w:t>
      </w:r>
    </w:p>
    <w:p>
      <w:pPr/>
      <w:r>
        <w:rPr>
          <w:b/>
          <w:bCs/>
        </w:rPr>
        <w:t xml:space="preserve">Critères d'évaluation</w:t>
      </w:r>
    </w:p>
    <w:p>
      <w:pPr/>
      <w:r>
        <w:rPr/>
        <w:t xml:space="preserve">Analyse des risques de condensation : Teneur en eau et l’humidité relative de la paroi globale, mais aussi des constituants principaux de cette paroi</w:t>
      </w:r>
    </w:p>
    <w:p>
      <w:pPr>
        <w:ind w:left="720" w:right="0"/>
      </w:pPr>
      <w:r>
        <w:rPr>
          <w:rStyle w:val="font_h2"/>
        </w:rPr>
        <w:t xml:space="preserve">3.3. Parois enterrées</w:t>
      </w:r>
    </w:p>
    <w:p>
      <w:pPr/>
      <w:r>
        <w:rPr/>
        <w:t xml:space="preserve">Validé par le Groupe Spécialisé le 22/06/2023</w:t>
      </w:r>
    </w:p>
    <w:p>
      <w:pPr/>
      <w:r>
        <w:rPr>
          <w:b/>
          <w:bCs/>
        </w:rPr>
        <w:t xml:space="preserve">Description</w:t>
      </w:r>
    </w:p>
    <w:p>
      <w:pPr/>
      <w:r>
        <w:rPr/>
        <w:t xml:space="preserve">Si les systèmes proposent des solutions d’étanchéité de parois enterrées.</w:t>
      </w:r>
    </w:p>
    <w:p>
      <w:pPr/>
      <w:r>
        <w:rPr/>
        <w:t xml:space="preserve">Exigences minimales concernant les revêtements d’étanchéité :</w:t>
      </w:r>
    </w:p>
    <w:p>
      <w:pPr/>
      <w:r>
        <w:rPr/>
        <w:t xml:space="preserve">Les revêtements associés sont des systèmes d’étanchéité mis en œuvre à froid, adhérent exclusivement (autocollants, collés à froid).</w:t>
      </w:r>
    </w:p>
    <w:p>
      <w:pPr/>
      <w:r>
        <w:rPr/>
        <w:t xml:space="preserve">Les systèmes peuvent être bicouches ou monocouches.</w:t>
      </w:r>
    </w:p>
    <w:p>
      <w:pPr/>
      <w:r>
        <w:rPr/>
        <w:t xml:space="preserve">Les feuilles d’étanchéité relèvent :</w:t>
      </w:r>
    </w:p>
    <w:p>
      <w:pPr>
        <w:pPr/>
        <w:numPr>
          <w:ilvl w:val="0"/>
          <w:numId w:val="23"/>
        </w:numPr>
      </w:pPr>
      <w:r>
        <w:rPr/>
        <w:t xml:space="preserve">Soit de la norme NF EN 13969, Feuilles souples d’étanchéité – Feuilles bitumineuses empêchant les remontées d’humidité du sol – Définitions et caractéristiques</w:t>
      </w:r>
    </w:p>
    <w:p>
      <w:pPr>
        <w:pPr/>
        <w:numPr>
          <w:ilvl w:val="0"/>
          <w:numId w:val="23"/>
        </w:numPr>
      </w:pPr>
      <w:r>
        <w:rPr/>
        <w:t xml:space="preserve">Soit de la norme NF EN 1396, Feuilles souples d’étanchéité – Feuilles plastiques et élastomères empêchant les remontées capillaires du sol – Définitions et caractéristiques.</w:t>
      </w:r>
    </w:p>
    <w:p>
      <w:pPr/>
      <w:r>
        <w:rPr/>
        <w:t xml:space="preserve">Le revêtement d’étanchéité doit répondre aux exigences minimales suivantes :</w:t>
      </w:r>
    </w:p>
    <w:p>
      <w:pPr>
        <w:pPr/>
        <w:numPr>
          <w:ilvl w:val="0"/>
          <w:numId w:val="24"/>
        </w:numPr>
      </w:pPr>
      <w:r>
        <w:rPr/>
        <w:t xml:space="preserve">Résistance aux racines : selon la norme NF EN 13948, Feuilles souples d’étanchéité – Feuilles d’étanchéité de toiture bitumineuses, plastiques et élastomères – Détermination de la résistance à la pénétration des racines. L’incorporation de Préventol B2, à raison de 20 g/m² permet de répondre à cette exigence.</w:t>
      </w:r>
    </w:p>
    <w:p>
      <w:pPr>
        <w:pPr/>
        <w:numPr>
          <w:ilvl w:val="0"/>
          <w:numId w:val="24"/>
        </w:numPr>
      </w:pPr>
      <w:r>
        <w:rPr/>
        <w:t xml:space="preserve">Performances mécaniques :</w:t>
      </w:r>
    </w:p>
    <w:p>
      <w:pPr>
        <w:pPr/>
        <w:numPr>
          <w:ilvl w:val="1"/>
          <w:numId w:val="24"/>
        </w:numPr>
      </w:pPr>
      <w:r>
        <w:rPr/>
        <w:t xml:space="preserve">Résistance au poinçonnement statique sur support dur : 5 kg selon méthode B de la norme NF EN 12730, Feuilles souples d’étanchéité – Feuille d’étanchéité de toitures bitumineuses, plastiques et élastomères – Détermination de la résistance au poinçonnement statique.</w:t>
      </w:r>
    </w:p>
    <w:p>
      <w:pPr>
        <w:pPr/>
        <w:numPr>
          <w:ilvl w:val="1"/>
          <w:numId w:val="24"/>
        </w:numPr>
      </w:pPr>
      <w:r>
        <w:rPr/>
        <w:t xml:space="preserve">Résistance au poinçonnement dynamique sur support rigide : 150 mm selon méthode A de la norme NF EN 12691, Feuilles souples d’étanchéité – Feuilles d’étanchéité de toitures bitumineuses, plastiques et élastomères- Détermination de la résistance au choc.</w:t>
      </w:r>
    </w:p>
    <w:p>
      <w:pPr>
        <w:pPr/>
        <w:numPr>
          <w:ilvl w:val="1"/>
          <w:numId w:val="24"/>
        </w:numPr>
      </w:pPr>
      <w:r>
        <w:rPr/>
        <w:t xml:space="preserve">Résistance à la déchirure au clou : 50 N selon la norme NF EN 12310-1, Feuilles souples d’étanchéité - Partie 1 : Feuilles d’étanchéité de toiture bitumineuse –Détermination de la résistance à la déchirure (au clou).</w:t>
      </w:r>
    </w:p>
    <w:p>
      <w:pPr/>
      <w:r>
        <w:rPr>
          <w:b/>
          <w:bCs/>
        </w:rPr>
        <w:t xml:space="preserve">Justification</w:t>
      </w:r>
    </w:p>
    <w:p>
      <w:pPr/>
      <w:r>
        <w:rPr/>
        <w:t xml:space="preserve">Exigences minimales des blocs de coffrage isolants :</w:t>
      </w:r>
    </w:p>
    <w:p>
      <w:pPr>
        <w:pPr/>
        <w:numPr>
          <w:ilvl w:val="0"/>
          <w:numId w:val="25"/>
        </w:numPr>
      </w:pPr>
      <w:r>
        <w:rPr/>
        <w:t xml:space="preserve">Masse volumique nominale de l’EPS ≥ 20 kg/m3.</w:t>
      </w:r>
    </w:p>
    <w:p>
      <w:pPr>
        <w:pPr/>
        <w:numPr>
          <w:ilvl w:val="0"/>
          <w:numId w:val="25"/>
        </w:numPr>
      </w:pPr>
      <w:r>
        <w:rPr/>
        <w:t xml:space="preserve">Contrainte en compression à 10 % de déformation ≥ 120 kPa.</w:t>
      </w:r>
    </w:p>
    <w:p>
      <w:pPr>
        <w:pPr/>
        <w:numPr>
          <w:ilvl w:val="0"/>
          <w:numId w:val="25"/>
        </w:numPr>
      </w:pPr>
      <w:r>
        <w:rPr/>
        <w:t xml:space="preserve">Compatibilité de la géométrie de surface (cannelure, désaffleurement entre blocs, etc.) avec le revêtement d’étanchéité.</w:t>
      </w:r>
    </w:p>
    <w:p>
      <w:pPr/>
      <w:r>
        <w:rPr>
          <w:b/>
          <w:bCs/>
        </w:rPr>
        <w:t xml:space="preserve">Critères d'évaluation</w:t>
      </w:r>
    </w:p>
    <w:p>
      <w:pPr/>
      <w:r>
        <w:rPr/>
        <w:t xml:space="preserve">La réalisation de parois enterrées justifiée pour ces conditions est toutefois limitée à une hauteur de sous-sol de 2,5 m maximum.</w:t>
      </w:r>
    </w:p>
    <w:p>
      <w:pPr>
        <w:ind w:left="720" w:right="0"/>
      </w:pPr>
      <w:r>
        <w:rPr>
          <w:rStyle w:val="font_h2"/>
        </w:rPr>
        <w:t xml:space="preserve">3.4. Dispositions dans les zones à risques de termites</w:t>
      </w:r>
    </w:p>
    <w:p>
      <w:pPr/>
      <w:r>
        <w:rPr/>
        <w:t xml:space="preserve">Validé par le Groupe Spécialisé le 29/05/2018</w:t>
      </w:r>
    </w:p>
    <w:p>
      <w:pPr/>
      <w:r>
        <w:rPr>
          <w:b/>
          <w:bCs/>
        </w:rPr>
        <w:t xml:space="preserve">Description</w:t>
      </w:r>
    </w:p>
    <w:p>
      <w:pPr/>
      <w:r>
        <w:rPr/>
        <w:t xml:space="preserve">La famille "Bloc de coffrage isolant dispose d'une liste minimale des éléments de preuve disponible sur le site de la CCFAT.Lors de la séance du 29/05/2018, le GS16a statué que les procédés de la familles de blocs de coffrage isolant visant les parois enterrées devront présenter les dispositions de traitement des parois enterrées vis-à-vis des termites.</w:t>
      </w:r>
    </w:p>
    <w:p>
      <w:pPr/>
      <w:r>
        <w:rPr>
          <w:rStyle w:val="font_h1"/>
        </w:rPr>
        <w:t xml:space="preserve">4. Dispositions de mise en œuvre</w:t>
      </w:r>
    </w:p>
    <w:p>
      <w:pPr>
        <w:ind w:left="720" w:right="0"/>
      </w:pPr>
      <w:r>
        <w:rPr>
          <w:rStyle w:val="font_h2"/>
        </w:rPr>
        <w:t xml:space="preserve">4.1. Mise en place des éléments de coffrage</w:t>
      </w:r>
    </w:p>
    <w:p>
      <w:pPr/>
      <w:r>
        <w:rPr/>
        <w:t xml:space="preserve">Validé par le Groupe Spécialisé le 27/11/2018</w:t>
      </w:r>
    </w:p>
    <w:p>
      <w:pPr/>
      <w:r>
        <w:rPr>
          <w:b/>
          <w:bCs/>
        </w:rPr>
        <w:t xml:space="preserve">Description</w:t>
      </w:r>
    </w:p>
    <w:p>
      <w:pPr/>
      <w:r>
        <w:rPr/>
        <w:t xml:space="preserve">Phasage de la mise en œuvre des blocs : préparation des assises ; assemblage du kit, point de démarrage, pose des blocs, jointoiement ; conditions d’étayage ; positionnement des ferraillages.</w:t>
      </w:r>
    </w:p>
    <w:p>
      <w:pPr/>
      <w:r>
        <w:rPr>
          <w:b/>
          <w:bCs/>
        </w:rPr>
        <w:t xml:space="preserve">Justification</w:t>
      </w:r>
    </w:p>
    <w:p>
      <w:pPr/>
      <w:r>
        <w:rPr/>
        <w:t xml:space="preserve">Notice de pose</w:t>
      </w:r>
    </w:p>
    <w:p>
      <w:pPr>
        <w:ind w:left="720" w:right="0"/>
      </w:pPr>
      <w:r>
        <w:rPr>
          <w:rStyle w:val="font_h2"/>
        </w:rPr>
        <w:t xml:space="preserve">4.2. Ferraillage des murs</w:t>
      </w:r>
    </w:p>
    <w:p>
      <w:pPr/>
      <w:r>
        <w:rPr/>
        <w:t xml:space="preserve">Validé par le Groupe Spécialisé le 27/11/2018</w:t>
      </w:r>
    </w:p>
    <w:p>
      <w:pPr/>
      <w:r>
        <w:rPr>
          <w:b/>
          <w:bCs/>
        </w:rPr>
        <w:t xml:space="preserve">Description</w:t>
      </w:r>
    </w:p>
    <w:p>
      <w:pPr/>
      <w:r>
        <w:rPr/>
        <w:t xml:space="preserve">Positionnement des armatures</w:t>
      </w:r>
    </w:p>
    <w:p>
      <w:pPr>
        <w:ind w:left="720" w:right="0"/>
      </w:pPr>
      <w:r>
        <w:rPr>
          <w:rStyle w:val="font_h2"/>
        </w:rPr>
        <w:t xml:space="preserve">4.3. Coulage du béton</w:t>
      </w:r>
    </w:p>
    <w:p>
      <w:pPr/>
      <w:r>
        <w:rPr/>
        <w:t xml:space="preserve">Validé par le Groupe Spécialisé le 27/11/2018</w:t>
      </w:r>
    </w:p>
    <w:p>
      <w:pPr/>
      <w:r>
        <w:rPr>
          <w:b/>
          <w:bCs/>
        </w:rPr>
        <w:t xml:space="preserve">Description</w:t>
      </w:r>
    </w:p>
    <w:p>
      <w:pPr/>
      <w:r>
        <w:rPr/>
        <w:t xml:space="preserve">Mode de coulage (hauteur de chute, vitesse de remplissage, vibration, hauteur des passes et temps entre deux passes, reprises de bétonnage).</w:t>
      </w:r>
    </w:p>
    <w:p>
      <w:pPr/>
      <w:r>
        <w:rPr>
          <w:b/>
          <w:bCs/>
        </w:rPr>
        <w:t xml:space="preserve">Justification</w:t>
      </w:r>
    </w:p>
    <w:p>
      <w:pPr/>
      <w:r>
        <w:rPr/>
        <w:t xml:space="preserve">Essai de remplissage</w:t>
      </w:r>
    </w:p>
    <w:p>
      <w:pPr>
        <w:ind w:left="720" w:right="0"/>
      </w:pPr>
      <w:r>
        <w:rPr>
          <w:rStyle w:val="font_h2"/>
        </w:rPr>
        <w:t xml:space="preserve">4.4. Réalisation des liaisons</w:t>
      </w:r>
    </w:p>
    <w:p>
      <w:pPr>
        <w:ind w:left="1440" w:right="0"/>
      </w:pPr>
      <w:r>
        <w:rPr>
          <w:rStyle w:val="font_h3"/>
        </w:rPr>
        <w:t xml:space="preserve">4.4.1. Généralité</w:t>
      </w:r>
    </w:p>
    <w:p>
      <w:pPr/>
      <w:r>
        <w:rPr/>
        <w:t xml:space="preserve">Validé par le Groupe Spécialisé le 27/11/2018</w:t>
      </w:r>
    </w:p>
    <w:p>
      <w:pPr/>
      <w:r>
        <w:rPr>
          <w:b/>
          <w:bCs/>
        </w:rPr>
        <w:t xml:space="preserve">Description</w:t>
      </w:r>
    </w:p>
    <w:p>
      <w:pPr/>
      <w:r>
        <w:rPr/>
        <w:t xml:space="preserve">Liaisons avec les refends, découpes, traitement des ponts thermiques ponctuels éventuels, jonctions mur-charpente, murs séparatifs, etc. ;</w:t>
      </w:r>
    </w:p>
    <w:p>
      <w:pPr>
        <w:ind w:left="1440" w:right="0"/>
      </w:pPr>
      <w:r>
        <w:rPr>
          <w:rStyle w:val="font_h3"/>
        </w:rPr>
        <w:t xml:space="preserve">4.4.2. Liaisons mur/refend</w:t>
      </w:r>
    </w:p>
    <w:p>
      <w:pPr>
        <w:ind w:left="1440" w:right="0"/>
      </w:pPr>
      <w:r>
        <w:rPr>
          <w:rStyle w:val="font_h3"/>
        </w:rPr>
        <w:t xml:space="preserve">4.4.3. Liaisons mur/plancher</w:t>
      </w:r>
    </w:p>
    <w:p>
      <w:pPr>
        <w:ind w:left="1440" w:right="0"/>
      </w:pPr>
      <w:r>
        <w:rPr>
          <w:rStyle w:val="font_h3"/>
        </w:rPr>
        <w:t xml:space="preserve">4.4.4. Liaisons mur/charpente</w:t>
      </w:r>
    </w:p>
    <w:p>
      <w:pPr>
        <w:ind w:left="1440" w:right="0"/>
      </w:pPr>
      <w:r>
        <w:rPr>
          <w:rStyle w:val="font_h3"/>
        </w:rPr>
        <w:t xml:space="preserve">4.4.5. Liaison mur/ mur séparatif</w:t>
      </w:r>
    </w:p>
    <w:p>
      <w:pPr>
        <w:ind w:left="720" w:right="0"/>
      </w:pPr>
      <w:r>
        <w:rPr>
          <w:rStyle w:val="font_h2"/>
        </w:rPr>
        <w:t xml:space="preserve">4.5. Mise en oeuvre des menuiseries</w:t>
      </w:r>
    </w:p>
    <w:p>
      <w:pPr>
        <w:ind w:left="1440" w:right="0"/>
      </w:pPr>
      <w:r>
        <w:rPr>
          <w:rStyle w:val="font_h3"/>
        </w:rPr>
        <w:t xml:space="preserve">4.5.1. Appuis de fenêtres et des portes fenêtres</w:t>
      </w:r>
    </w:p>
    <w:p>
      <w:pPr/>
      <w:r>
        <w:rPr/>
        <w:t xml:space="preserve">Validé par le Groupe Spécialisé le 22/06/2023</w:t>
      </w:r>
    </w:p>
    <w:p>
      <w:pPr/>
      <w:r>
        <w:rPr>
          <w:b/>
          <w:bCs/>
        </w:rPr>
        <w:t xml:space="preserve">Description</w:t>
      </w:r>
    </w:p>
    <w:p>
      <w:pPr/>
      <w:r>
        <w:rPr/>
        <w:t xml:space="preserve">La réalisation des appuis de fenêtres et portes préfabriqués ou coulés en place doit être conforme au NF DTU 20.1 (encastrement minimal, ...)</w:t>
      </w:r>
    </w:p>
    <w:p>
      <w:pPr/>
      <w:r>
        <w:rPr>
          <w:b/>
          <w:bCs/>
        </w:rPr>
        <w:t xml:space="preserve">Justification</w:t>
      </w:r>
    </w:p>
    <w:p>
      <w:pPr/>
      <w:r>
        <w:rPr/>
        <w:t xml:space="preserve">Figures de coupes (épaisseur minimale, épaisseur maximale de l'isolant extérieur du bloc coffrant).Largeur des appuis préfabriqués visés.</w:t>
      </w:r>
    </w:p>
    <w:p>
      <w:pPr>
        <w:ind w:left="1440" w:right="0"/>
      </w:pPr>
      <w:r>
        <w:rPr>
          <w:rStyle w:val="font_h3"/>
        </w:rPr>
        <w:t xml:space="preserve">4.5.2. Pose des menuiseries</w:t>
      </w:r>
    </w:p>
    <w:p>
      <w:pPr>
        <w:ind w:left="1440" w:right="0"/>
      </w:pPr>
      <w:r>
        <w:rPr>
          <w:rStyle w:val="font_h3"/>
        </w:rPr>
        <w:t xml:space="preserve">4.5.3. Pose de coffres de volet roulant</w:t>
      </w:r>
    </w:p>
    <w:p>
      <w:pPr/>
      <w:r>
        <w:rPr/>
        <w:t xml:space="preserve">Validé par le Groupe Spécialisé le 22/06/2023</w:t>
      </w:r>
    </w:p>
    <w:p>
      <w:pPr/>
      <w:r>
        <w:rPr>
          <w:b/>
          <w:bCs/>
        </w:rPr>
        <w:t xml:space="preserve">Description</w:t>
      </w:r>
    </w:p>
    <w:p>
      <w:pPr/>
      <w:r>
        <w:rPr/>
        <w:t xml:space="preserve">Les coffres de volets roulants sont ceux couverts par un Avis Technique en cours de validité, et adaptés en dimensions des parois au bloc de coffrage isolant.</w:t>
      </w:r>
    </w:p>
    <w:p>
      <w:pPr/>
      <w:r>
        <w:rPr>
          <w:b/>
          <w:bCs/>
        </w:rPr>
        <w:t xml:space="preserve">Justification</w:t>
      </w:r>
    </w:p>
    <w:p>
      <w:pPr/>
      <w:r>
        <w:rPr/>
        <w:t xml:space="preserve">Figure d'intégration de coffre de volet roulant (coupes).</w:t>
      </w:r>
    </w:p>
    <w:p>
      <w:pPr/>
      <w:r>
        <w:rPr/>
        <w:t xml:space="preserve">Les prescriptions relatives à la granulométrie du béton qui doit être utilisé le cas échéant pour le bétonnage du linteau.</w:t>
      </w:r>
    </w:p>
    <w:p>
      <w:pPr>
        <w:ind w:left="720" w:right="0"/>
      </w:pPr>
      <w:r>
        <w:rPr>
          <w:rStyle w:val="font_h2"/>
        </w:rPr>
        <w:t xml:space="preserve">4.6. Traitements des parois enterrées</w:t>
      </w:r>
    </w:p>
    <w:p>
      <w:pPr/>
      <w:r>
        <w:rPr/>
        <w:t xml:space="preserve">Validé par le Groupe Spécialisé le 27/11/2018</w:t>
      </w:r>
    </w:p>
    <w:p>
      <w:pPr/>
      <w:r>
        <w:rPr>
          <w:b/>
          <w:bCs/>
        </w:rPr>
        <w:t xml:space="preserve">Description</w:t>
      </w:r>
    </w:p>
    <w:p>
      <w:pPr/>
      <w:r>
        <w:rPr/>
        <w:t xml:space="preserve">Dispositions spécifiques de protection des parois enterrées;</w:t>
      </w:r>
    </w:p>
    <w:p>
      <w:pPr/>
      <w:r>
        <w:rPr>
          <w:b/>
          <w:bCs/>
        </w:rPr>
        <w:t xml:space="preserve">Justification</w:t>
      </w:r>
    </w:p>
    <w:p>
      <w:pPr/>
      <w:r>
        <w:rPr/>
        <w:t xml:space="preserve">Avis Technique en cours de validité du système d’étanchéité visé, ou,</w:t>
      </w:r>
    </w:p>
    <w:p>
      <w:pPr/>
      <w:r>
        <w:rPr/>
        <w:t xml:space="preserve">Traitement de l’étanchéité réalisé à l’aide d’une membrane autocollante à froid  :</w:t>
      </w:r>
    </w:p>
    <w:p>
      <w:pPr>
        <w:pPr/>
        <w:numPr>
          <w:ilvl w:val="0"/>
          <w:numId w:val="26"/>
        </w:numPr>
      </w:pPr>
      <w:r>
        <w:rPr/>
        <w:t xml:space="preserve">conforme à la norme NF EN 13969 pour les feuilles bitumineuses ou la NF EN 13967 pour les feuilles plastiques et élastomères ;</w:t>
      </w:r>
    </w:p>
    <w:p>
      <w:pPr>
        <w:pPr/>
        <w:numPr>
          <w:ilvl w:val="0"/>
          <w:numId w:val="26"/>
        </w:numPr>
      </w:pPr>
      <w:r>
        <w:rPr/>
        <w:t xml:space="preserve">résistante aux racines conformément à la NF EN 13948,  et résistante à la déchirure conformément à la NF EN 12310-1 ;</w:t>
      </w:r>
    </w:p>
    <w:p>
      <w:pPr>
        <w:pPr/>
        <w:numPr>
          <w:ilvl w:val="0"/>
          <w:numId w:val="26"/>
        </w:numPr>
      </w:pPr>
      <w:r>
        <w:rPr/>
        <w:t xml:space="preserve">présentant une résistance mécanique suffisante conformément à la norme NF EN 12730 (pour le poinçonnement statique) et NF EN 12691 (pour le poinçonnement dynamique) ;</w:t>
      </w:r>
    </w:p>
    <w:p>
      <w:pPr>
        <w:pPr/>
        <w:numPr>
          <w:ilvl w:val="0"/>
          <w:numId w:val="26"/>
        </w:numPr>
      </w:pPr>
      <w:r>
        <w:rPr/>
        <w:t xml:space="preserve">recouverte d’une protection mécanique, comme du polystyrène très haute densité d’épaisseur minimale 40 mm, ou un procédé de protection des murs enterrés sous Avis Technique.</w:t>
      </w:r>
    </w:p>
    <w:p>
      <w:pPr>
        <w:ind w:left="720" w:right="0"/>
      </w:pPr>
      <w:r>
        <w:rPr>
          <w:rStyle w:val="font_h2"/>
        </w:rPr>
        <w:t xml:space="preserve">4.7. Protection contre les termites</w:t>
      </w:r>
    </w:p>
    <w:p>
      <w:pPr/>
      <w:r>
        <w:rPr/>
        <w:t xml:space="preserve">Validé par le Groupe Spécialisé le 27/07/2019</w:t>
      </w:r>
    </w:p>
    <w:p>
      <w:pPr/>
      <w:r>
        <w:rPr>
          <w:b/>
          <w:bCs/>
        </w:rPr>
        <w:t xml:space="preserve">Description</w:t>
      </w:r>
    </w:p>
    <w:p>
      <w:pPr/>
      <w:r>
        <w:rPr/>
        <w:t xml:space="preserve">Modification de jurisprudence : les procédés de la familles de blocs de coffrage isolant visant les parois enterrées devront présenter les dispositions de traitement des parois enterrées vis-à-vis des termites.</w:t>
      </w:r>
    </w:p>
    <w:p>
      <w:pPr/>
      <w:r>
        <w:rPr>
          <w:b/>
          <w:bCs/>
        </w:rPr>
        <w:t xml:space="preserve">Critères d'évaluation</w:t>
      </w:r>
    </w:p>
    <w:p>
      <w:pPr/>
      <w:r>
        <w:rPr/>
        <w:t xml:space="preserve">Si un vide sanitaire est visitable, de hauteur supérieure à 60 cm, et de moins de 1,2 m de hauteur (par rapport au coulage du béton), il n’est pas nécessaire de traiter les parois intérieures et le sol contre les termites si le plancher peut être considéré comme dispositif infranchissable (par conséquent les planchers intégrant des rupteurs sont exclus).</w:t>
      </w:r>
    </w:p>
    <w:p>
      <w:pPr/>
      <w:r>
        <w:rPr/>
        <w:t xml:space="preserve">Pour le cas des planchers en contact avec le sol, il n’est pas nécessaire de traiter les parois internes du mur de soubassement ni le sol.</w:t>
      </w:r>
    </w:p>
    <w:p>
      <w:pPr>
        <w:ind w:left="720" w:right="0"/>
      </w:pPr>
      <w:r>
        <w:rPr>
          <w:rStyle w:val="font_h2"/>
        </w:rPr>
        <w:t xml:space="preserve">4.8. Traitement des acrotères</w:t>
      </w:r>
    </w:p>
    <w:p>
      <w:pPr/>
      <w:r>
        <w:rPr/>
        <w:t xml:space="preserve">Validé par le Groupe Spécialisé le 27/11/2018</w:t>
      </w:r>
    </w:p>
    <w:p>
      <w:pPr/>
      <w:r>
        <w:rPr>
          <w:b/>
          <w:bCs/>
        </w:rPr>
        <w:t xml:space="preserve">Description</w:t>
      </w:r>
    </w:p>
    <w:p>
      <w:pPr/>
      <w:r>
        <w:rPr/>
        <w:t xml:space="preserve">Dispositions d’étanchéité, mode de pose ; liste des références de produits applicables avec préconisations de pose associées.</w:t>
      </w:r>
    </w:p>
    <w:p>
      <w:pPr>
        <w:ind w:left="720" w:right="0"/>
      </w:pPr>
      <w:r>
        <w:rPr>
          <w:rStyle w:val="font_h2"/>
        </w:rPr>
        <w:t xml:space="preserve">4.9. Mise en oeuvre des revêtements extérieurs</w:t>
      </w:r>
    </w:p>
    <w:p>
      <w:pPr/>
      <w:r>
        <w:rPr/>
        <w:t xml:space="preserve">Validé par le Groupe Spécialisé le 27/11/2018</w:t>
      </w:r>
    </w:p>
    <w:p>
      <w:pPr/>
      <w:r>
        <w:rPr>
          <w:b/>
          <w:bCs/>
        </w:rPr>
        <w:t xml:space="preserve">Description</w:t>
      </w:r>
    </w:p>
    <w:p>
      <w:pPr/>
      <w:r>
        <w:rPr/>
        <w:t xml:space="preserve">Délai avant application des revêtements extérieurs ; protection éventuelle des blocs dans l’attente ; traitement éventuel de la paroi avant application des revêtements extérieurs.</w:t>
      </w:r>
    </w:p>
    <w:p>
      <w:pPr>
        <w:ind w:left="720" w:right="0"/>
      </w:pPr>
      <w:r>
        <w:rPr>
          <w:rStyle w:val="font_h2"/>
        </w:rPr>
        <w:t xml:space="preserve">4.10. Mise en œuvre des revêtements intérieurs</w:t>
      </w:r>
    </w:p>
    <w:p>
      <w:pPr>
        <w:ind w:left="720" w:right="0"/>
      </w:pPr>
      <w:r>
        <w:rPr>
          <w:rStyle w:val="font_h2"/>
        </w:rPr>
        <w:t xml:space="preserve">4.11. Autres dispositions particulières</w:t>
      </w:r>
    </w:p>
    <w:p>
      <w:pPr>
        <w:ind w:left="1440" w:right="0"/>
      </w:pPr>
      <w:r>
        <w:rPr>
          <w:rStyle w:val="font_h3"/>
        </w:rPr>
        <w:t xml:space="preserve">4.11.1. Réalisations des traversées, saignés, rebouchage</w:t>
      </w:r>
    </w:p>
    <w:p>
      <w:pPr>
        <w:ind w:left="1440" w:right="0"/>
      </w:pPr>
      <w:r>
        <w:rPr>
          <w:rStyle w:val="font_h3"/>
        </w:rPr>
        <w:t xml:space="preserve">4.11.2. Fixations</w:t>
      </w:r>
    </w:p>
    <w:p>
      <w:pPr>
        <w:ind w:left="2160" w:right="0"/>
      </w:pPr>
      <w:r>
        <w:rPr>
          <w:rStyle w:val="font_h3"/>
        </w:rPr>
        <w:t xml:space="preserve">4.11.2.1. Fixations sur parois intérieures</w:t>
      </w:r>
    </w:p>
    <w:p>
      <w:pPr>
        <w:ind w:left="2160" w:right="0"/>
      </w:pPr>
      <w:r>
        <w:rPr>
          <w:rStyle w:val="font_h3"/>
        </w:rPr>
        <w:t xml:space="preserve">4.11.2.2. Fixations sur parois extérieures</w:t>
      </w:r>
    </w:p>
    <w:p>
      <w:pPr/>
      <w:r>
        <w:rPr>
          <w:rStyle w:val="font_h1"/>
        </w:rPr>
        <w:t xml:space="preserve">5. Assistance technique</w:t>
      </w:r>
    </w:p>
    <w:p>
      <w:pPr/>
      <w:r>
        <w:rPr/>
        <w:t xml:space="preserve">Validé par le Groupe Spécialisé le 27/11/2018</w:t>
      </w:r>
    </w:p>
    <w:p>
      <w:pPr/>
      <w:r>
        <w:rPr>
          <w:b/>
          <w:bCs/>
        </w:rPr>
        <w:t xml:space="preserve">Description</w:t>
      </w:r>
    </w:p>
    <w:p>
      <w:pPr/>
      <w:r>
        <w:rPr/>
        <w:t xml:space="preserve">Description du mode d’assistance technique (formation chez le fabricant, démonstration sur chantier, support technique : guide de mise en œuvre, internet,…)</w:t>
      </w:r>
    </w:p>
    <w:p>
      <w:pPr/>
      <w:r>
        <w:rPr>
          <w:rStyle w:val="font_h1"/>
        </w:rPr>
        <w:t xml:space="preserve">6. Fabrication et contrôles</w:t>
      </w:r>
    </w:p>
    <w:p>
      <w:pPr>
        <w:ind w:left="720" w:right="0"/>
      </w:pPr>
      <w:r>
        <w:rPr>
          <w:rStyle w:val="font_h2"/>
        </w:rPr>
        <w:t xml:space="preserve">6.1. Fabrication</w:t>
      </w:r>
    </w:p>
    <w:p>
      <w:pPr/>
      <w:r>
        <w:rPr/>
        <w:t xml:space="preserve">Validé par le Groupe Spécialisé le 27/11/2018</w:t>
      </w:r>
    </w:p>
    <w:p>
      <w:pPr/>
      <w:r>
        <w:rPr>
          <w:b/>
          <w:bCs/>
        </w:rPr>
        <w:t xml:space="preserve">Description</w:t>
      </w:r>
    </w:p>
    <w:p>
      <w:pPr>
        <w:pPr/>
        <w:numPr>
          <w:ilvl w:val="0"/>
          <w:numId w:val="27"/>
        </w:numPr>
      </w:pPr>
      <w:r>
        <w:rPr/>
        <w:t xml:space="preserve">description du process de production</w:t>
      </w:r>
    </w:p>
    <w:p>
      <w:pPr>
        <w:pPr/>
        <w:numPr>
          <w:ilvl w:val="0"/>
          <w:numId w:val="27"/>
        </w:numPr>
      </w:pPr>
      <w:r>
        <w:rPr/>
        <w:t xml:space="preserve">localisation des sites de fabrication ;</w:t>
      </w:r>
    </w:p>
    <w:p>
      <w:pPr>
        <w:ind w:left="720" w:right="0"/>
      </w:pPr>
      <w:r>
        <w:rPr>
          <w:rStyle w:val="font_h2"/>
        </w:rPr>
        <w:t xml:space="preserve">6.2. Contrôles</w:t>
      </w:r>
    </w:p>
    <w:p>
      <w:pPr/>
      <w:r>
        <w:rPr/>
        <w:t xml:space="preserve">Validé par le Groupe Spécialisé le 27/11/2018</w:t>
      </w:r>
    </w:p>
    <w:p>
      <w:pPr/>
      <w:r>
        <w:rPr>
          <w:b/>
          <w:bCs/>
        </w:rPr>
        <w:t xml:space="preserve">Description</w:t>
      </w:r>
    </w:p>
    <w:p>
      <w:pPr/>
      <w:r>
        <w:rPr/>
        <w:t xml:space="preserve">Dans le cas où le bloc n’est pas marqué CE:</w:t>
      </w:r>
    </w:p>
    <w:p>
      <w:pPr>
        <w:pPr/>
        <w:numPr>
          <w:ilvl w:val="0"/>
          <w:numId w:val="28"/>
        </w:numPr>
      </w:pPr>
      <w:r>
        <w:rPr/>
        <w:t xml:space="preserve">Plan de contrôle en cours de production et sur produits finis, mentionnant les essais, les fréquences et les spécifications associées.</w:t>
      </w:r>
    </w:p>
    <w:p>
      <w:pPr>
        <w:pPr/>
        <w:numPr>
          <w:ilvl w:val="0"/>
          <w:numId w:val="28"/>
        </w:numPr>
      </w:pPr>
      <w:r>
        <w:rPr/>
        <w:t xml:space="preserve">Registres de contrôle des dix dernières fabrications (au minimum) des composants fabriqués par le demandeur.</w:t>
      </w:r>
    </w:p>
    <w:p>
      <w:pPr>
        <w:pPr/>
        <w:numPr>
          <w:ilvl w:val="0"/>
          <w:numId w:val="28"/>
        </w:numPr>
      </w:pPr>
      <w:r>
        <w:rPr/>
        <w:t xml:space="preserve">Certificat ISO 9001 des usines de fabrication du produit de base (le cas échéant).</w:t>
      </w:r>
    </w:p>
    <w:p>
      <w:pPr/>
      <w:r>
        <w:rPr/>
        <w:t xml:space="preserve">Dans le cas où le bloc est marqué CE</w:t>
      </w:r>
    </w:p>
    <w:p>
      <w:pPr>
        <w:pPr/>
        <w:numPr>
          <w:ilvl w:val="0"/>
          <w:numId w:val="29"/>
        </w:numPr>
      </w:pPr>
      <w:r>
        <w:rPr/>
        <w:t xml:space="preserve">Evaluation Technique Européenne ;</w:t>
      </w:r>
    </w:p>
    <w:p>
      <w:pPr>
        <w:pPr/>
        <w:numPr>
          <w:ilvl w:val="0"/>
          <w:numId w:val="29"/>
        </w:numPr>
      </w:pPr>
      <w:r>
        <w:rPr/>
        <w:t xml:space="preserve">Marquage CE en cours de validité ;</w:t>
      </w:r>
    </w:p>
    <w:p>
      <w:pPr>
        <w:pPr/>
        <w:numPr>
          <w:ilvl w:val="0"/>
          <w:numId w:val="29"/>
        </w:numPr>
      </w:pPr>
      <w:r>
        <w:rPr/>
        <w:t xml:space="preserve">Déclaration de performance en français  ;</w:t>
      </w:r>
    </w:p>
    <w:p>
      <w:pPr>
        <w:pPr/>
        <w:numPr>
          <w:ilvl w:val="0"/>
          <w:numId w:val="29"/>
        </w:numPr>
      </w:pPr>
      <w:r>
        <w:rPr/>
        <w:t xml:space="preserve">Plan de contrôle en cours de production et sur produits finis, mentionnant les essais, les fréquences et les spécifications associées.</w:t>
      </w:r>
    </w:p>
    <w:p>
      <w:pPr/>
      <w:r>
        <w:rPr>
          <w:rStyle w:val="font_h1"/>
        </w:rPr>
        <w:t xml:space="preserve">7. Figures</w:t>
      </w:r>
    </w:p>
    <w:p>
      <w:pPr/>
      <w:r>
        <w:rPr/>
        <w:t xml:space="preserve">Validé par le Groupe Spécialisé le 22/06/2023</w:t>
      </w:r>
    </w:p>
    <w:p>
      <w:pPr/>
      <w:r>
        <w:rPr>
          <w:b/>
          <w:bCs/>
        </w:rPr>
        <w:t xml:space="preserve">Description</w:t>
      </w:r>
    </w:p>
    <w:p>
      <w:pPr/>
      <w:r>
        <w:rPr/>
        <w:t xml:space="preserve">Schémas côtés des blocs : </w:t>
      </w:r>
    </w:p>
    <w:p>
      <w:pPr>
        <w:pPr/>
        <w:numPr>
          <w:ilvl w:val="0"/>
          <w:numId w:val="30"/>
        </w:numPr>
      </w:pPr>
      <w:r>
        <w:rPr/>
        <w:t xml:space="preserve">Blocs standards</w:t>
      </w:r>
    </w:p>
    <w:p>
      <w:pPr>
        <w:pPr/>
        <w:numPr>
          <w:ilvl w:val="0"/>
          <w:numId w:val="30"/>
        </w:numPr>
      </w:pPr>
      <w:r>
        <w:rPr/>
        <w:t xml:space="preserve">Blocs accessoires</w:t>
      </w:r>
    </w:p>
    <w:p>
      <w:pPr/>
      <w:r>
        <w:rPr/>
        <w:t xml:space="preserve">Illustration du principe de montage.</w:t>
      </w:r>
    </w:p>
    <w:p>
      <w:pPr/>
      <w:r>
        <w:rPr/>
        <w:t xml:space="preserve">Coupes illustrant toutes les configurations visées :</w:t>
      </w:r>
    </w:p>
    <w:p>
      <w:pPr>
        <w:pPr/>
        <w:numPr>
          <w:ilvl w:val="0"/>
          <w:numId w:val="31"/>
        </w:numPr>
      </w:pPr>
      <w:r>
        <w:rPr/>
        <w:t xml:space="preserve">Mur / plancher ;</w:t>
      </w:r>
    </w:p>
    <w:p>
      <w:pPr>
        <w:pPr/>
        <w:numPr>
          <w:ilvl w:val="0"/>
          <w:numId w:val="31"/>
        </w:numPr>
      </w:pPr>
      <w:r>
        <w:rPr/>
        <w:t xml:space="preserve">Angle de façade ;</w:t>
      </w:r>
    </w:p>
    <w:p>
      <w:pPr>
        <w:pPr/>
        <w:numPr>
          <w:ilvl w:val="0"/>
          <w:numId w:val="31"/>
        </w:numPr>
      </w:pPr>
      <w:r>
        <w:rPr/>
        <w:t xml:space="preserve">Mur/ refend ;</w:t>
      </w:r>
    </w:p>
    <w:p>
      <w:pPr>
        <w:pPr/>
        <w:numPr>
          <w:ilvl w:val="0"/>
          <w:numId w:val="31"/>
        </w:numPr>
      </w:pPr>
      <w:r>
        <w:rPr/>
        <w:t xml:space="preserve">Mur / charpente ;</w:t>
      </w:r>
    </w:p>
    <w:p>
      <w:pPr>
        <w:pPr/>
        <w:numPr>
          <w:ilvl w:val="0"/>
          <w:numId w:val="31"/>
        </w:numPr>
      </w:pPr>
      <w:r>
        <w:rPr/>
        <w:t xml:space="preserve">Acrotère ;</w:t>
      </w:r>
    </w:p>
    <w:p>
      <w:pPr>
        <w:pPr/>
        <w:numPr>
          <w:ilvl w:val="0"/>
          <w:numId w:val="31"/>
        </w:numPr>
      </w:pPr>
      <w:r>
        <w:rPr/>
        <w:t xml:space="preserve">Soubassement, départ en partie enterrée ;</w:t>
      </w:r>
    </w:p>
    <w:p>
      <w:pPr>
        <w:pPr/>
        <w:numPr>
          <w:ilvl w:val="0"/>
          <w:numId w:val="31"/>
        </w:numPr>
      </w:pPr>
      <w:r>
        <w:rPr/>
        <w:t xml:space="preserve">Solution de recoupement vis-à-vis de la propagation du feu en façade.</w:t>
      </w:r>
    </w:p>
    <w:p>
      <w:pPr/>
      <w:r>
        <w:rPr/>
        <w:t xml:space="preserve">Coupes sur menuiseries faisant apparaitre les différents modes de pose visés dans le Dossier Technique : </w:t>
      </w:r>
    </w:p>
    <w:p>
      <w:pPr>
        <w:pPr/>
        <w:numPr>
          <w:ilvl w:val="0"/>
          <w:numId w:val="32"/>
        </w:numPr>
      </w:pPr>
      <w:r>
        <w:rPr/>
        <w:t xml:space="preserve">en applique intérieur, </w:t>
      </w:r>
    </w:p>
    <w:p>
      <w:pPr>
        <w:pPr/>
        <w:numPr>
          <w:ilvl w:val="0"/>
          <w:numId w:val="32"/>
        </w:numPr>
      </w:pPr>
      <w:r>
        <w:rPr/>
        <w:t xml:space="preserve">en applique extérieur, </w:t>
      </w:r>
    </w:p>
    <w:p>
      <w:pPr>
        <w:pPr/>
        <w:numPr>
          <w:ilvl w:val="0"/>
          <w:numId w:val="32"/>
        </w:numPr>
      </w:pPr>
      <w:r>
        <w:rPr/>
        <w:t xml:space="preserve">pose en tunnel, </w:t>
      </w:r>
    </w:p>
    <w:p>
      <w:pPr>
        <w:pPr/>
        <w:numPr>
          <w:ilvl w:val="0"/>
          <w:numId w:val="32"/>
        </w:numPr>
      </w:pPr>
      <w:r>
        <w:rPr/>
        <w:t xml:space="preserve">précadre.</w:t>
      </w:r>
    </w:p>
    <w:p>
      <w:pPr/>
      <w:r>
        <w:rPr>
          <w:rStyle w:val="font_h1"/>
        </w:rPr>
        <w:t xml:space="preserve">8. Mention des justificatifs</w:t>
      </w:r>
    </w:p>
    <w:p>
      <w:pPr>
        <w:ind w:left="720" w:right="0"/>
      </w:pPr>
      <w:r>
        <w:rPr>
          <w:rStyle w:val="font_h2"/>
        </w:rPr>
        <w:t xml:space="preserve">8.1. Stabilité</w:t>
      </w:r>
    </w:p>
    <w:p>
      <w:pPr/>
      <w:r>
        <w:rPr/>
        <w:t xml:space="preserve">Validé par le Groupe Spécialisé le 22/06/2023</w:t>
      </w:r>
    </w:p>
    <w:p>
      <w:pPr/>
      <w:r>
        <w:rPr>
          <w:b/>
          <w:bCs/>
        </w:rPr>
        <w:t xml:space="preserve">Description</w:t>
      </w:r>
    </w:p>
    <w:p>
      <w:pPr/>
      <w:r>
        <w:rPr/>
        <w:t xml:space="preserve">Cf. Nature du béton</w:t>
      </w:r>
    </w:p>
    <w:p>
      <w:pPr>
        <w:ind w:left="720" w:right="0"/>
      </w:pPr>
      <w:r>
        <w:rPr>
          <w:rStyle w:val="font_h2"/>
        </w:rPr>
        <w:t xml:space="preserve">8.2. Sécurité incendie</w:t>
      </w:r>
    </w:p>
    <w:p>
      <w:pPr>
        <w:ind w:left="1440" w:right="0"/>
      </w:pPr>
      <w:r>
        <w:rPr>
          <w:rStyle w:val="font_h3"/>
        </w:rPr>
        <w:t xml:space="preserve">8.2.1. Résistance au feu</w:t>
      </w:r>
    </w:p>
    <w:p>
      <w:pPr/>
      <w:r>
        <w:rPr/>
        <w:t xml:space="preserve">Validé par le Groupe Spécialisé le 27/11/2018</w:t>
      </w:r>
    </w:p>
    <w:p>
      <w:pPr/>
      <w:r>
        <w:rPr>
          <w:b/>
          <w:bCs/>
        </w:rPr>
        <w:t xml:space="preserve">Description</w:t>
      </w:r>
    </w:p>
    <w:p>
      <w:pPr/>
      <w:r>
        <w:rPr/>
        <w:t xml:space="preserve">Justification de la résistance au feu du procédé.</w:t>
      </w:r>
    </w:p>
    <w:p>
      <w:pPr/>
      <w:r>
        <w:rPr>
          <w:b/>
          <w:bCs/>
        </w:rPr>
        <w:t xml:space="preserve">Justification</w:t>
      </w:r>
    </w:p>
    <w:p>
      <w:pPr>
        <w:pPr/>
        <w:numPr>
          <w:ilvl w:val="0"/>
          <w:numId w:val="33"/>
        </w:numPr>
      </w:pPr>
      <w:r>
        <w:rPr/>
        <w:t xml:space="preserve">Procès-verbal établi par un laboratoire agréé1 à partir d’un rapport d’essais réalisés selon norme européenne par un laboratoire européen accrédité, ou,</w:t>
      </w:r>
    </w:p>
    <w:p>
      <w:pPr>
        <w:pPr/>
        <w:numPr>
          <w:ilvl w:val="0"/>
          <w:numId w:val="33"/>
        </w:numPr>
      </w:pPr>
      <w:r>
        <w:rPr/>
        <w:t xml:space="preserve">Appréciation d’un laboratoire agréé, ou,</w:t>
      </w:r>
    </w:p>
    <w:p>
      <w:pPr>
        <w:pPr/>
        <w:numPr>
          <w:ilvl w:val="0"/>
          <w:numId w:val="33"/>
        </w:numPr>
      </w:pPr>
      <w:r>
        <w:rPr/>
        <w:t xml:space="preserve">Autres méthodes visées à l’article 18 de l’arrêté du 22 mars 2004.</w:t>
      </w:r>
    </w:p>
    <w:p>
      <w:pPr/>
      <w:r>
        <w:rPr>
          <w:b/>
          <w:bCs/>
        </w:rPr>
        <w:t xml:space="preserve">Critères d'évaluation</w:t>
      </w:r>
    </w:p>
    <w:p>
      <w:pPr/>
      <w:r>
        <w:rPr/>
        <w:t xml:space="preserve">Le classement de résistance au feu doit permettre de justifier le domaine d'emploi revendiqué.</w:t>
      </w:r>
    </w:p>
    <w:p>
      <w:pPr>
        <w:ind w:left="1440" w:right="0"/>
      </w:pPr>
      <w:r>
        <w:rPr>
          <w:rStyle w:val="font_h3"/>
        </w:rPr>
        <w:t xml:space="preserve">8.2.2. Protection de l'isolation des parois intérieures</w:t>
      </w:r>
    </w:p>
    <w:p>
      <w:pPr/>
      <w:r>
        <w:rPr/>
        <w:t xml:space="preserve">Validé par le Groupe Spécialisé le 03/02/2026</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r>
        <w:rPr>
          <w:b/>
          <w:bCs/>
        </w:rPr>
        <w:t xml:space="preserve">Jurisprudence sur l’aspect surface dentelée dégarnie :</w:t>
      </w:r>
      <w:r>
        <w:rPr/>
        <w:t xml:space="preserve"> L’efficacité du compriband sur une surface dégarnie (dentelée) est à justifier. A défaut, un redressage de la surface est à prévoir. Par ailleurs, les préconisations nécessaires pour la fixation sur une surface dentelée sont à préciser.</w:t>
      </w:r>
    </w:p>
    <w:p>
      <w:pPr>
        <w:ind w:left="1440" w:right="0"/>
      </w:pPr>
      <w:r>
        <w:rPr>
          <w:rStyle w:val="font_h3"/>
        </w:rPr>
        <w:t xml:space="preserve">8.2.3. Réaction au feu</w:t>
      </w:r>
    </w:p>
    <w:p>
      <w:pPr/>
      <w:r>
        <w:rPr/>
        <w:t xml:space="preserve">Validé par le Groupe Spécialisé le 22/06/2023</w:t>
      </w:r>
    </w:p>
    <w:p>
      <w:pPr/>
      <w:r>
        <w:rPr>
          <w:b/>
          <w:bCs/>
        </w:rPr>
        <w:t xml:space="preserve">Description</w:t>
      </w:r>
    </w:p>
    <w:p>
      <w:pPr/>
      <w:r>
        <w:rPr/>
        <w:t xml:space="preserve">Selon le domaine d'emploi visé, une performance de réaction au feu du procédé nu et éventuellement revêtu doit être indiquée dans le dossier.</w:t>
      </w:r>
    </w:p>
    <w:p>
      <w:pPr/>
      <w:r>
        <w:rPr>
          <w:b/>
          <w:bCs/>
        </w:rPr>
        <w:t xml:space="preserve">Justification</w:t>
      </w:r>
    </w:p>
    <w:p>
      <w:pPr/>
      <w:r>
        <w:rPr/>
        <w:t xml:space="preserve">Procès-verbal ou rapport de classement de réaction au feu du bloc de coffrage isolant non revêtu conformément à la nome EN 13501-1, avec le domaine d’application détaillé (densité des panneaux isolants visés, épaisseurs des panneaux isolants visés, etc).</w:t>
      </w:r>
    </w:p>
    <w:p>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w:t>
      </w:r>
    </w:p>
    <w:p>
      <w:pPr/>
      <w:r>
        <w:rPr/>
        <w:t xml:space="preserve">Il sera généralement nécessaire de fournir la preuve du suivi d'ignifugation chez le producteur de la matière première avec un niveau de performance équivalent à l'Euroclasse D pour l'épaisseur conventionnelle de 60 mm pour les polystyrènes expansés ou 40 mm pour les polystyrènes extrudés.</w:t>
      </w:r>
    </w:p>
    <w:p>
      <w:pPr/>
      <w:r>
        <w:rPr>
          <w:b/>
          <w:bCs/>
        </w:rPr>
        <w:t xml:space="preserve">Critères d'évaluation</w:t>
      </w:r>
    </w:p>
    <w:p>
      <w:pPr/>
      <w:r>
        <w:rPr/>
        <w:t xml:space="preserve">Le classement de réaction au feu doit être cohérent avec le domaine d'emploi visé.</w:t>
      </w:r>
    </w:p>
    <w:p>
      <w:pPr>
        <w:ind w:left="1440" w:right="0"/>
      </w:pPr>
      <w:r>
        <w:rPr>
          <w:rStyle w:val="font_h3"/>
        </w:rPr>
        <w:t xml:space="preserve">8.2.4. Propagation de feu en façade</w:t>
      </w:r>
    </w:p>
    <w:p>
      <w:pPr/>
      <w:r>
        <w:rPr/>
        <w:t xml:space="preserve">Validé par le Groupe Spécialisé le 22/06/2023</w:t>
      </w:r>
    </w:p>
    <w:p>
      <w:pPr/>
      <w:r>
        <w:rPr>
          <w:b/>
          <w:bCs/>
        </w:rPr>
        <w:t xml:space="preserve">Description</w:t>
      </w:r>
    </w:p>
    <w:p>
      <w:pPr/>
      <w:r>
        <w:rPr/>
        <w:t xml:space="preserve">Des justifications doivent être apportées si le domaine d'emploi couvre les bâtiment pour lesquels des exigences en matière de propagation du feu en façade.</w:t>
      </w:r>
    </w:p>
    <w:p>
      <w:pPr/>
      <w:r>
        <w:rPr>
          <w:b/>
          <w:bCs/>
        </w:rPr>
        <w:t xml:space="preserve">Justification</w:t>
      </w:r>
    </w:p>
    <w:p>
      <w:pPr/>
      <w:r>
        <w:rPr/>
        <w:t xml:space="preserve">Appréciation de laboratoire par un laboratoire agréé par le Ministère de l’Intérieur pour les solutions de protection vis  à vis de la propagation du feu en façade .</w:t>
      </w:r>
    </w:p>
    <w:p>
      <w:pPr>
        <w:ind w:left="720" w:right="0"/>
      </w:pPr>
      <w:r>
        <w:rPr>
          <w:rStyle w:val="font_h2"/>
        </w:rPr>
        <w:t xml:space="preserve">8.3. Isolation thermique</w:t>
      </w:r>
    </w:p>
    <w:p>
      <w:pPr/>
      <w:r>
        <w:rPr/>
        <w:t xml:space="preserve">Validé par le Groupe Spécialisé le 27/11/2018</w:t>
      </w:r>
    </w:p>
    <w:p>
      <w:pPr/>
      <w:r>
        <w:rPr>
          <w:b/>
          <w:bCs/>
        </w:rPr>
        <w:t xml:space="preserve">Description</w:t>
      </w:r>
    </w:p>
    <w:p>
      <w:pPr/>
      <w:r>
        <w:rPr/>
        <w:t xml:space="preserve">•	Conductivité thermique déclaré de l’isolant constituant le bloc ;</w:t>
      </w:r>
    </w:p>
    <w:p/>
    <w:p>
      <w:pPr/>
      <w:r>
        <w:rPr/>
        <w:t xml:space="preserve">•	Ponts thermiques dus à la présence d’entretoises ;</w:t>
      </w:r>
    </w:p>
    <w:p/>
    <w:p>
      <w:pPr/>
      <w:r>
        <w:rPr/>
        <w:t xml:space="preserve">•	Etude thermique ayant permis l’obtention des valeurs de résistance surfaciques thermiques R et des ponts thermiques linéiques ψ ;</w:t>
      </w:r>
    </w:p>
    <w:p/>
    <w:p>
      <w:pPr/>
      <w:r>
        <w:rPr/>
        <w:t xml:space="preserve">•	Certificat ACERMI du bloc de coffrage isolant, ou autre certification équivalente .</w:t>
      </w:r>
    </w:p>
    <w:p>
      <w:pPr>
        <w:ind w:left="720" w:right="0"/>
      </w:pPr>
      <w:r>
        <w:rPr>
          <w:rStyle w:val="font_h2"/>
        </w:rPr>
        <w:t xml:space="preserve">8.4. Risques de condensation</w:t>
      </w:r>
    </w:p>
    <w:p>
      <w:pPr/>
      <w:r>
        <w:rPr/>
        <w:t xml:space="preserve">Validé par le Groupe Spécialisé le 22/06/2023</w:t>
      </w:r>
    </w:p>
    <w:p>
      <w:pPr/>
      <w:r>
        <w:rPr>
          <w:b/>
          <w:bCs/>
        </w:rPr>
        <w:t xml:space="preserve">Description</w:t>
      </w:r>
    </w:p>
    <w:p>
      <w:pPr/>
      <w:r>
        <w:rPr/>
        <w:t xml:space="preserve">Cf. Conditions de conception hygrothermique</w:t>
      </w:r>
    </w:p>
    <w:p>
      <w:pPr>
        <w:ind w:left="720" w:right="0"/>
      </w:pPr>
      <w:r>
        <w:rPr>
          <w:rStyle w:val="font_h2"/>
        </w:rPr>
        <w:t xml:space="preserve">8.5. Isolation acoustique</w:t>
      </w:r>
    </w:p>
    <w:p>
      <w:pPr/>
      <w:r>
        <w:rPr/>
        <w:t xml:space="preserve">Validé par le Groupe Spécialisé le 27/11/2018</w:t>
      </w:r>
    </w:p>
    <w:p>
      <w:pPr/>
      <w:r>
        <w:rPr>
          <w:b/>
          <w:bCs/>
        </w:rPr>
        <w:t xml:space="preserve">Description</w:t>
      </w:r>
    </w:p>
    <w:p>
      <w:pPr/>
      <w:r>
        <w:rPr/>
        <w:t xml:space="preserve">Indices d’affaiblissement global Rw et ΔRw de la paroi couvrant :</w:t>
      </w:r>
    </w:p>
    <w:p/>
    <w:p>
      <w:pPr/>
      <w:r>
        <w:rPr/>
        <w:t xml:space="preserve">•	la gamme d’épaisseur de panneaux isolant visés, </w:t>
      </w:r>
    </w:p>
    <w:p/>
    <w:p>
      <w:pPr/>
      <w:r>
        <w:rPr/>
        <w:t xml:space="preserve">•	l’élasticité de l’isolant ;</w:t>
      </w:r>
    </w:p>
    <w:p/>
    <w:p>
      <w:pPr/>
      <w:r>
        <w:rPr/>
        <w:t xml:space="preserve">•	les revêtements extérieurs visés ;</w:t>
      </w:r>
    </w:p>
    <w:p/>
    <w:p>
      <w:pPr/>
      <w:r>
        <w:rPr/>
        <w:t xml:space="preserve">•	les revêtements intérieurs visés.</w:t>
      </w:r>
    </w:p>
    <w:p>
      <w:pPr>
        <w:ind w:left="720" w:right="0"/>
      </w:pPr>
      <w:r>
        <w:rPr>
          <w:rStyle w:val="font_h2"/>
        </w:rPr>
        <w:t xml:space="preserve">8.6. Durabilité des revêtements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69E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5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6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EC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34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2F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93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CC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50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AD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17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E9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E5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04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05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423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6D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80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D12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EC6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46A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C4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528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9D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F20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2026-05-09T16:00:48+02:00</dcterms:created>
  <dcterms:modified xsi:type="dcterms:W3CDTF">2026-05-09T16:00:48+02:00</dcterms:modified>
</cp:coreProperties>
</file>

<file path=docProps/custom.xml><?xml version="1.0" encoding="utf-8"?>
<Properties xmlns="http://schemas.openxmlformats.org/officeDocument/2006/custom-properties" xmlns:vt="http://schemas.openxmlformats.org/officeDocument/2006/docPropsVTypes"/>
</file>