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16 - Édité le 10/12/2025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16 « Produits et Procédés spéciaux pour la maçonnerie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Bloc de coffrage pour piscine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9"/>
        </w:numPr>
      </w:pPr>
      <w:r>
        <w:rPr/>
        <w:t xml:space="preserve">Géométrie des blocs à bancher ;</w:t>
      </w:r>
    </w:p>
    <w:p>
      <w:pPr>
        <w:pPr/>
        <w:numPr>
          <w:ilvl w:val="0"/>
          <w:numId w:val="9"/>
        </w:numPr>
      </w:pPr>
      <w:r>
        <w:rPr/>
        <w:t xml:space="preserve">Hauteur maximale de la paroi ;</w:t>
      </w:r>
    </w:p>
    <w:p>
      <w:pPr>
        <w:pPr/>
        <w:numPr>
          <w:ilvl w:val="0"/>
          <w:numId w:val="9"/>
        </w:numPr>
      </w:pPr>
      <w:r>
        <w:rPr/>
        <w:t xml:space="preserve">Réalisation de l’étanchéité (liner…) ;</w:t>
      </w:r>
    </w:p>
    <w:p>
      <w:pPr>
        <w:pPr/>
        <w:numPr>
          <w:ilvl w:val="0"/>
          <w:numId w:val="9"/>
        </w:numPr>
      </w:pPr>
      <w:r>
        <w:rPr/>
        <w:t xml:space="preserve">Destination de l’ouvrage (piscine privée ou publique ?) ;</w:t>
      </w:r>
    </w:p>
    <w:p>
      <w:pPr>
        <w:pPr/>
        <w:numPr>
          <w:ilvl w:val="0"/>
          <w:numId w:val="9"/>
        </w:numPr>
      </w:pPr>
      <w:r>
        <w:rPr/>
        <w:t xml:space="preserve">Type d’installation (enterré, semi-enterré ou hors-sol ?) ;</w:t>
      </w:r>
    </w:p>
    <w:p>
      <w:pPr>
        <w:pPr/>
        <w:numPr>
          <w:ilvl w:val="0"/>
          <w:numId w:val="9"/>
        </w:numPr>
      </w:pPr>
      <w:r>
        <w:rPr/>
        <w:t xml:space="preserve">Géométrie de l’ouvrage (dimensions maximales, forme…) ;</w:t>
      </w:r>
    </w:p>
    <w:p>
      <w:pPr>
        <w:pPr/>
        <w:numPr>
          <w:ilvl w:val="0"/>
          <w:numId w:val="9"/>
        </w:numPr>
      </w:pPr>
      <w:r>
        <w:rPr/>
        <w:t xml:space="preserve">Critère d’acceptabilité du sol support (Kw, pente du terrain…) : L’environnement hydro-géologique du projet doit être défini par une étude de sol ;</w:t>
      </w:r>
    </w:p>
    <w:p>
      <w:pPr>
        <w:pPr/>
        <w:numPr>
          <w:ilvl w:val="0"/>
          <w:numId w:val="9"/>
        </w:numPr>
      </w:pPr>
      <w:r>
        <w:rPr/>
        <w:t xml:space="preserve">Descriptif de la liaison aux plages.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schémas nécessaires à la bonne compréhension du procédé : Dimensions des blocs, coupe sur la paroi et le radier précisant les cotes et le ferraillage type, détail sur l’étanchéité intérieure/extérieure et sur l’étanchéité extérieure/intérieure.</w:t>
      </w:r>
    </w:p>
    <w:p>
      <w:pPr/>
      <w:r>
        <w:rPr>
          <w:rStyle w:val="font_h1"/>
        </w:rPr>
        <w:t xml:space="preserve">2. Eléments et matériaux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0"/>
        </w:numPr>
      </w:pPr>
      <w:r>
        <w:rPr/>
        <w:t xml:space="preserve">Matériau du bloc : type, propriétés physiques (résistance en traction…)</w:t>
      </w:r>
    </w:p>
    <w:p>
      <w:pPr>
        <w:pPr/>
        <w:numPr>
          <w:ilvl w:val="0"/>
          <w:numId w:val="10"/>
        </w:numPr>
      </w:pPr>
      <w:r>
        <w:rPr/>
        <w:t xml:space="preserve">Type de béton à utiliser (Classe de consistance, diamètre des granulats, résistance minimale…)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1"/>
        </w:numPr>
      </w:pPr>
      <w:r>
        <w:rPr/>
        <w:t xml:space="preserve">Essais sur matériaux</w:t>
      </w:r>
    </w:p>
    <w:p>
      <w:pPr>
        <w:pPr/>
        <w:numPr>
          <w:ilvl w:val="0"/>
          <w:numId w:val="11"/>
        </w:numPr>
      </w:pPr>
      <w:r>
        <w:rPr/>
        <w:t xml:space="preserve">Essai de remplissage : résistance à la pression et qualité du remplissage.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remplissage ne doit pas provoquer de déformation importante.</w:t>
      </w:r>
      <w:br/>
      <w:r>
        <w:rPr/>
        <w:t xml:space="preserve">Un critère de 5 mm est généralement retenu.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fabrication des panneaux à bancher : Usines, plan qualité (notamment les contrôles réalisés en usine), provenance des matériaux utilisés.</w:t>
      </w:r>
    </w:p>
    <w:p>
      <w:pPr/>
      <w:r>
        <w:rPr>
          <w:rStyle w:val="font_h1"/>
        </w:rPr>
        <w:t xml:space="preserve">4. Conception</w:t>
      </w:r>
    </w:p>
    <w:p>
      <w:pPr/>
      <w:r>
        <w:rPr/>
        <w:t xml:space="preserve">Validé par le Groupe Spécialisé le 22/06/2023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conception des ouvrages réalisés à l’aide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Exemple de dimensionnement de l’ouvrage final (radier + piscine). Cet exemple devra notamment comporter :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en cas de remontée de nappe avec la piscine vide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 l’ouvrage avec la piscine pleine sans prendre en compte la poussée des terres</w:t>
      </w:r>
    </w:p>
    <w:p>
      <w:pPr>
        <w:pPr/>
        <w:numPr>
          <w:ilvl w:val="0"/>
          <w:numId w:val="12"/>
        </w:numPr>
      </w:pPr>
      <w:r>
        <w:rPr/>
        <w:t xml:space="preserve">Une justification de la stabilité des bords de la fouille en phase provisoire.</w:t>
      </w:r>
    </w:p>
    <w:p>
      <w:pPr/>
      <w:r>
        <w:rPr/>
        <w:t xml:space="preserve">Le dimensionnement doit être réalisé conformément à l’Eurocode 2 : NF EN 1992-1-1 et son annexe nationale ainsi que la NF EN 1992-3 et son annexe nationale. Les calculs de dimensionnement doivent être effectués par un bureau d’études structure.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3"/>
        </w:numPr>
      </w:pPr>
      <w:r>
        <w:rPr/>
        <w:t xml:space="preserve">Répartition des rôles (commercialisation, conception, mise en œuvre du radier, mise en œuvre de la paroi, pose du liner…) entre les intervenants ;</w:t>
      </w:r>
    </w:p>
    <w:p>
      <w:pPr>
        <w:pPr/>
        <w:numPr>
          <w:ilvl w:val="0"/>
          <w:numId w:val="13"/>
        </w:numPr>
      </w:pPr>
      <w:r>
        <w:rPr/>
        <w:t xml:space="preserve">Détail de l’assistance technique prévue.</w:t>
      </w:r>
    </w:p>
    <w:p>
      <w:pPr/>
      <w:r>
        <w:rPr>
          <w:rStyle w:val="font_h1"/>
        </w:rPr>
        <w:t xml:space="preserve">6. Mise en œuvre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Détails de mise en œuvre du procédé.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4"/>
        </w:numPr>
      </w:pPr>
      <w:r>
        <w:rPr/>
        <w:t xml:space="preserve">Détails de réalisation du radier (couche de sol, drainage périphérique, etc.)</w:t>
      </w:r>
    </w:p>
    <w:p>
      <w:pPr>
        <w:pPr/>
        <w:numPr>
          <w:ilvl w:val="0"/>
          <w:numId w:val="14"/>
        </w:numPr>
      </w:pPr>
      <w:r>
        <w:rPr/>
        <w:t xml:space="preserve">Conditions d’étayage en phase provisoire</w:t>
      </w:r>
    </w:p>
    <w:p>
      <w:pPr>
        <w:pPr/>
        <w:numPr>
          <w:ilvl w:val="0"/>
          <w:numId w:val="14"/>
        </w:numPr>
      </w:pPr>
      <w:r>
        <w:rPr/>
        <w:t xml:space="preserve">Conditions de remplissage (Critère de fluidité du béton, vibrage…)</w:t>
      </w:r>
    </w:p>
    <w:p>
      <w:pPr>
        <w:pPr/>
        <w:numPr>
          <w:ilvl w:val="0"/>
          <w:numId w:val="14"/>
        </w:numPr>
      </w:pPr>
      <w:r>
        <w:rPr/>
        <w:t xml:space="preserve">Condition d’accès aux postes de travail</w:t>
      </w:r>
    </w:p>
    <w:p>
      <w:pPr>
        <w:pPr/>
        <w:numPr>
          <w:ilvl w:val="0"/>
          <w:numId w:val="14"/>
        </w:numPr>
      </w:pPr>
      <w:r>
        <w:rPr/>
        <w:t xml:space="preserve">Conditions de réalisation du liner</w:t>
      </w:r>
    </w:p>
    <w:p>
      <w:pPr>
        <w:pPr/>
        <w:numPr>
          <w:ilvl w:val="0"/>
          <w:numId w:val="14"/>
        </w:numPr>
      </w:pPr>
      <w:r>
        <w:rPr/>
        <w:t xml:space="preserve">Conditions de scellement de pièces rapportées (réalisation des réservations, percement du liner)</w:t>
      </w:r>
    </w:p>
    <w:p>
      <w:pPr/>
      <w:r>
        <w:rPr>
          <w:rStyle w:val="font_h1"/>
        </w:rPr>
        <w:t xml:space="preserve">7. Durabilité/Entretien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>
        <w:pPr/>
        <w:numPr>
          <w:ilvl w:val="0"/>
          <w:numId w:val="15"/>
        </w:numPr>
      </w:pPr>
      <w:r>
        <w:rPr/>
        <w:t xml:space="preserve">Conditions de vidange (période de l’année, position de la nappe phréatique….)</w:t>
      </w:r>
    </w:p>
    <w:p>
      <w:pPr>
        <w:pPr/>
        <w:numPr>
          <w:ilvl w:val="0"/>
          <w:numId w:val="15"/>
        </w:numPr>
      </w:pPr>
      <w:r>
        <w:rPr/>
        <w:t xml:space="preserve">Entretien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6"/>
        </w:numPr>
      </w:pPr>
      <w:r>
        <w:rPr/>
        <w:t xml:space="preserve">Justification de la durabilité du procédé, notamment la durabilité du système d’étanchéité choisi pendant la durée de vie de l’ouvrage</w:t>
      </w:r>
    </w:p>
    <w:p>
      <w:pPr>
        <w:pPr/>
        <w:numPr>
          <w:ilvl w:val="0"/>
          <w:numId w:val="16"/>
        </w:numPr>
      </w:pPr>
      <w:r>
        <w:rPr/>
        <w:t xml:space="preserve">Essai de choc avec corps de choc dur à 10 J pour les blocs souples (par exemple, en polystyrène expansé)</w:t>
      </w:r>
    </w:p>
    <w:p>
      <w:pPr/>
      <w:r>
        <w:rPr>
          <w:rStyle w:val="font_h1"/>
        </w:rPr>
        <w:t xml:space="preserve">8. Références chantier</w:t>
      </w:r>
    </w:p>
    <w:p>
      <w:pPr/>
      <w:r>
        <w:rPr/>
        <w:t xml:space="preserve">Validé par le Groupe Spécialisé le 18/06/2020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Citer quelques références chantier publiables.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Références chantier mentionnant la nature de l’ouvrage, le nombre de ml ou de m2 traités, la configuration de pose, la localisation et la date de livraison.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Minimum de deux références chantier publiables (dans le cas des révisions, ces références chantier doivent être ultérieures à la date du dernier examen en GS).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9925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2FF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246A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65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79C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B0E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882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E72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2025-12-10T05:33:29+01:00</dcterms:created>
  <dcterms:modified xsi:type="dcterms:W3CDTF">2025-12-10T05:33:29+01:00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