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Traitement de désembouage, de lutte contre la corrosion, l'entartrage et l'embouage des réseaux d'eaux de chauffage et refroidissement</w:t>
      </w:r>
    </w:p>
    <w:p>
      <w:pPr/>
      <w:r>
        <w:rPr>
          <w:rStyle w:val="font_h1"/>
        </w:rPr>
        <w:t xml:space="preserve">1. Définition du procédé</w:t>
      </w:r>
    </w:p>
    <w:p>
      <w:pPr>
        <w:ind w:left="720" w:right="0"/>
      </w:pPr>
      <w:r>
        <w:rPr>
          <w:rStyle w:val="font_h2"/>
        </w:rPr>
        <w:t xml:space="preserve">1.1. Domaine d'emploi</w:t>
      </w:r>
    </w:p>
    <w:p>
      <w:pPr/>
      <w:r>
        <w:rPr/>
        <w:t xml:space="preserve">Validé par le Groupe Spécialisé le 21/09/2023</w:t>
      </w:r>
    </w:p>
    <w:p>
      <w:pPr/>
      <w:r>
        <w:rPr>
          <w:b/>
          <w:bCs/>
        </w:rPr>
        <w:t xml:space="preserve">Description</w:t>
      </w:r>
    </w:p>
    <w:p>
      <w:pPr/>
      <w:r>
        <w:rPr/>
        <w:t xml:space="preserve">Tous les ATec ayant des produits à base de sulfites devront préciser dans leur domaine d’emploi la mention suivante :</w:t>
      </w:r>
    </w:p>
    <w:p>
      <w:pPr/>
      <w:r>
        <w:rPr/>
        <w:t xml:space="preserve">« L’emploi des sulfites n’est pas adapté pour les circuits d’eau de chauffage et de refroidissement fonctionnant à une température inférieure à 20°C ».</w:t>
      </w:r>
    </w:p>
    <w:p>
      <w:pPr/>
      <w:r>
        <w:rPr/>
        <w:t xml:space="preserve">Pour le cuivre, le GS ne demande pas de témoin de corrosion car la corrosion de cuivre est « visible ».</w:t>
      </w:r>
    </w:p>
    <w:p>
      <w:pPr/>
      <w:r>
        <w:rPr>
          <w:rStyle w:val="font_h1"/>
        </w:rPr>
        <w:t xml:space="preserve">2. Description du procédé</w:t>
      </w:r>
    </w:p>
    <w:p>
      <w:pPr>
        <w:ind w:left="720" w:right="0"/>
      </w:pPr>
      <w:r>
        <w:rPr>
          <w:rStyle w:val="font_h2"/>
        </w:rPr>
        <w:t xml:space="preserve">2.1. Produits</w:t>
      </w:r>
    </w:p>
    <w:p>
      <w:pPr>
        <w:ind w:left="1440" w:right="0"/>
      </w:pPr>
      <w:r>
        <w:rPr>
          <w:rStyle w:val="font_h3"/>
        </w:rPr>
        <w:t xml:space="preserve">2.1.1. Site de production</w:t>
      </w:r>
    </w:p>
    <w:p>
      <w:pPr/>
      <w:r>
        <w:rPr/>
        <w:t xml:space="preserve">Validé par le Groupe Spécialisé le 13/12/2018</w:t>
      </w:r>
    </w:p>
    <w:p>
      <w:pPr/>
      <w:r>
        <w:rPr>
          <w:b/>
          <w:bCs/>
        </w:rPr>
        <w:t xml:space="preserve">Description</w:t>
      </w:r>
    </w:p>
    <w:p>
      <w:pPr/>
      <w:r>
        <w:rPr/>
        <w:t xml:space="preserve">Indiquer le nom de la ville et du pays du (des) site(s) de production des produits.</w:t>
      </w:r>
    </w:p>
    <w:p>
      <w:pPr/>
      <w:r>
        <w:rPr>
          <w:b/>
          <w:bCs/>
        </w:rPr>
        <w:t xml:space="preserve">Critères d'évaluation</w:t>
      </w:r>
    </w:p>
    <w:p>
      <w:pPr/>
      <w:r>
        <w:rPr/>
        <w:t xml:space="preserve">Visite éventuelle des systèmes qualité des sites de production et de la traçabilité de la production des produits.</w:t>
      </w:r>
    </w:p>
    <w:p>
      <w:pPr>
        <w:ind w:left="720" w:right="0"/>
      </w:pPr>
      <w:r>
        <w:rPr>
          <w:rStyle w:val="font_h2"/>
        </w:rPr>
        <w:t xml:space="preserve">2.2. Filtres</w:t>
      </w:r>
    </w:p>
    <w:p>
      <w:pPr>
        <w:ind w:left="720" w:right="0"/>
      </w:pPr>
      <w:r>
        <w:rPr>
          <w:rStyle w:val="font_h2"/>
        </w:rPr>
        <w:t xml:space="preserve">2.3. Compteur d'apoint</w:t>
      </w:r>
    </w:p>
    <w:p>
      <w:pPr/>
      <w:r>
        <w:rPr/>
        <w:t xml:space="preserve">Validé par le Groupe Spécialisé le 16/03/2017</w:t>
      </w:r>
    </w:p>
    <w:p>
      <w:pPr/>
      <w:r>
        <w:rPr>
          <w:b/>
          <w:bCs/>
        </w:rPr>
        <w:t xml:space="preserve">Description</w:t>
      </w:r>
    </w:p>
    <w:p>
      <w:pPr/>
      <w:r>
        <w:rPr/>
        <w:t xml:space="preserve">L'installation doit comporter un compteur d'apoint à définir dans le dossier technique.</w:t>
      </w:r>
    </w:p>
    <w:p>
      <w:pPr>
        <w:ind w:left="720" w:right="0"/>
      </w:pPr>
      <w:r>
        <w:rPr>
          <w:rStyle w:val="font_h2"/>
        </w:rPr>
        <w:t xml:space="preserve">2.4. Caractéristiques à maintenir dans le circuit</w:t>
      </w:r>
    </w:p>
    <w:p>
      <w:pPr>
        <w:ind w:left="1440" w:right="0"/>
      </w:pPr>
      <w:r>
        <w:rPr>
          <w:rStyle w:val="font_h3"/>
        </w:rPr>
        <w:t xml:space="preserve">2.4.1. Matière en suspension</w:t>
      </w:r>
    </w:p>
    <w:p>
      <w:pPr>
        <w:ind w:left="1440" w:right="0"/>
      </w:pPr>
      <w:r>
        <w:rPr>
          <w:rStyle w:val="font_h3"/>
        </w:rPr>
        <w:t xml:space="preserve">2.4.2. Concentration en cuivre</w:t>
      </w:r>
    </w:p>
    <w:p>
      <w:pPr/>
      <w:r>
        <w:rPr/>
        <w:t xml:space="preserve">Validé par le Groupe Spécialisé le 13/12/2018</w:t>
      </w:r>
    </w:p>
    <w:p>
      <w:pPr/>
      <w:r>
        <w:rPr>
          <w:b/>
          <w:bCs/>
        </w:rPr>
        <w:t xml:space="preserve">Description</w:t>
      </w:r>
    </w:p>
    <w:p>
      <w:pPr/>
      <w:r>
        <w:rPr/>
        <w:t xml:space="preserve">Définir la concentration en cuivre.</w:t>
      </w:r>
    </w:p>
    <w:p>
      <w:pPr/>
      <w:r>
        <w:rPr>
          <w:b/>
          <w:bCs/>
        </w:rPr>
        <w:t xml:space="preserve">Justification</w:t>
      </w:r>
    </w:p>
    <w:p>
      <w:pPr/>
      <w:r>
        <w:rPr/>
        <w:t xml:space="preserve">Fourniture d'un PV d'essai.</w:t>
      </w:r>
    </w:p>
    <w:p>
      <w:pPr/>
      <w:r>
        <w:rPr>
          <w:b/>
          <w:bCs/>
        </w:rPr>
        <w:t xml:space="preserve">Critères d'évaluation</w:t>
      </w:r>
    </w:p>
    <w:p>
      <w:pPr/>
      <w:r>
        <w:rPr/>
        <w:t xml:space="preserve">Concentration en cuivre inférieur ou égal à 0,5 mg/l.</w:t>
      </w:r>
    </w:p>
    <w:p>
      <w:pPr>
        <w:ind w:left="1440" w:right="0"/>
      </w:pPr>
      <w:r>
        <w:rPr>
          <w:rStyle w:val="font_h3"/>
        </w:rPr>
        <w:t xml:space="preserve">2.4.3. Concentration en aluminium</w:t>
      </w:r>
    </w:p>
    <w:p>
      <w:pPr>
        <w:ind w:left="1440" w:right="0"/>
      </w:pPr>
      <w:r>
        <w:rPr>
          <w:rStyle w:val="font_h3"/>
        </w:rPr>
        <w:t xml:space="preserve">2.4.4. Concentration en molybdates</w:t>
      </w:r>
    </w:p>
    <w:p>
      <w:pPr/>
      <w:r>
        <w:rPr>
          <w:rStyle w:val="font_h1"/>
        </w:rPr>
        <w:t xml:space="preserve">3. Fabrication et contrôle</w:t>
      </w:r>
    </w:p>
    <w:p>
      <w:pPr>
        <w:ind w:left="720" w:right="0"/>
      </w:pPr>
      <w:r>
        <w:rPr>
          <w:rStyle w:val="font_h2"/>
        </w:rPr>
        <w:t xml:space="preserve">3.1. Précautions prises pour l’élaboration du produit</w:t>
      </w:r>
    </w:p>
    <w:p>
      <w:pPr>
        <w:ind w:left="720" w:right="0"/>
      </w:pPr>
      <w:r>
        <w:rPr>
          <w:rStyle w:val="font_h2"/>
        </w:rPr>
        <w:t xml:space="preserve">3.2. Fiche de données sécurité</w:t>
      </w:r>
    </w:p>
    <w:p>
      <w:pPr/>
      <w:r>
        <w:rPr/>
        <w:t xml:space="preserve">Validé par le Groupe Spécialisé le 11/06/2019</w:t>
      </w:r>
    </w:p>
    <w:p>
      <w:pPr/>
      <w:r>
        <w:rPr>
          <w:b/>
          <w:bCs/>
        </w:rPr>
        <w:t xml:space="preserve">Description</w:t>
      </w:r>
    </w:p>
    <w:p>
      <w:pPr/>
      <w:r>
        <w:rPr/>
        <w:t xml:space="preserve">Arrêté du 14 janvier 2019 (JO du 16 janvier 2019) relatif aux conditions de mise sur le marché des produits introduits dans les installations utilisées pour le traitement thermique des eaux destinées à la consommation humaine.</w:t>
      </w:r>
    </w:p>
    <w:p>
      <w:pPr/>
      <w:r>
        <w:rPr/>
        <w:t xml:space="preserve">Cet arrêté concerne les produits mis en oeuvre dans les réseaux d’eaux de chauffage et de refroidissement, famille « traitement de désembouage, de lutte contre la corrosion, l’entartrage et l’embouage des réseaux d’eaux de chauffage et de refroidissement », dont il y a un échange thermique avec les réseaux d’eau destinée à la consommation humaine en simple paroi.</w:t>
      </w:r>
    </w:p>
    <w:p>
      <w:pPr/>
      <w:r>
        <w:rPr/>
        <w:t xml:space="preserve">1) Ajout dans le guide technique relatif aux instructions, l’application de l’arrêté du 14 janvier 2019.Le demandeur devra :</w:t>
      </w:r>
    </w:p>
    <w:p>
      <w:pPr>
        <w:pPr/>
        <w:numPr>
          <w:ilvl w:val="0"/>
          <w:numId w:val="9"/>
        </w:numPr>
      </w:pPr>
      <w:r>
        <w:rPr/>
        <w:t xml:space="preserve">Déclarer le respect de cette réglementation auprès du CSTB.</w:t>
      </w:r>
    </w:p>
    <w:p>
      <w:pPr>
        <w:pPr/>
        <w:numPr>
          <w:ilvl w:val="0"/>
          <w:numId w:val="9"/>
        </w:numPr>
      </w:pPr>
      <w:r>
        <w:rPr/>
        <w:t xml:space="preserve">Transmettre au CSTB les fiches de sécurité (FDS) de produit afin que ce dernier vérifie le respect à cet arrêté et notamment aux articles 5 et 7.</w:t>
      </w:r>
    </w:p>
    <w:p>
      <w:pPr/>
      <w:r>
        <w:rPr/>
        <w:t xml:space="preserve">2) Pour les ATEC déjà publiés, le CSTB :</w:t>
      </w:r>
    </w:p>
    <w:p>
      <w:pPr>
        <w:pPr/>
        <w:numPr>
          <w:ilvl w:val="0"/>
          <w:numId w:val="10"/>
        </w:numPr>
      </w:pPr>
      <w:r>
        <w:rPr/>
        <w:t xml:space="preserve">demandera aux titulaires concernés une déclaration du respect de cet arrêté</w:t>
      </w:r>
    </w:p>
    <w:p>
      <w:pPr>
        <w:pPr/>
        <w:numPr>
          <w:ilvl w:val="0"/>
          <w:numId w:val="10"/>
        </w:numPr>
      </w:pPr>
      <w:r>
        <w:rPr/>
        <w:t xml:space="preserve">demandera aux titulaires les FDS des produits pour traçabilité et vérification éventuelle de la déclaration.</w:t>
      </w:r>
    </w:p>
    <w:p>
      <w:pPr/>
      <w:r>
        <w:rPr>
          <w:rStyle w:val="font_h1"/>
        </w:rPr>
        <w:t xml:space="preserve">4. Mise en oeuvre</w:t>
      </w:r>
    </w:p>
    <w:p>
      <w:pPr/>
      <w:r>
        <w:rPr/>
        <w:t xml:space="preserve">Validé par le Groupe Spécialisé le 01/01/2017</w:t>
      </w:r>
    </w:p>
    <w:p>
      <w:pPr/>
      <w:r>
        <w:rPr>
          <w:b/>
          <w:bCs/>
        </w:rPr>
        <w:t xml:space="preserve">Description</w:t>
      </w:r>
    </w:p>
    <w:p>
      <w:pPr/>
      <w:r>
        <w:rPr/>
        <w:t xml:space="preserve">Voir CPT 3614 (</w:t>
      </w:r>
      <w:hyperlink r:id="rId7" w:history="1">
        <w:r>
          <w:rPr/>
          <w:t xml:space="preserve">http://www.ccfat.fr/groupes-specialises/?keywords=3614&amp;sort=1#documents</w:t>
        </w:r>
      </w:hyperlink>
      <w:r>
        <w:rPr/>
        <w:t xml:space="preserve">), chapitre 11, pour les critères de justification de la mise en œuvre.</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B2AFB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BC05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cfat.fr/groupes-specialises/?keywords=3614&amp;sort=1#documents"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2025-04-04T04:08:03+02:00</dcterms:created>
  <dcterms:modified xsi:type="dcterms:W3CDTF">2025-04-04T04:08:03+02:00</dcterms:modified>
</cp:coreProperties>
</file>

<file path=docProps/custom.xml><?xml version="1.0" encoding="utf-8"?>
<Properties xmlns="http://schemas.openxmlformats.org/officeDocument/2006/custom-properties" xmlns:vt="http://schemas.openxmlformats.org/officeDocument/2006/docPropsVTypes"/>
</file>